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F01 合同与协议任务总结</w:t>
      </w:r>
    </w:p>
    <w:p>
      <w:r>
        <w:t>审阅日期 2026-09-28    任务 F-01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pPr>
        <w:pStyle w:val="Heading1"/>
      </w:pPr>
      <w:r>
        <w:t>历史签收对象</w:t>
      </w:r>
    </w:p>
    <w:p>
      <w:r>
        <w:t>审核人 傅钧烨    日期 2026-08-12</w:t>
      </w:r>
    </w:p>
    <w:p>
      <w:r>
        <w:t>审核提交 6c27c94a53c3eaa57d77b12a74626eb7442bfc0e</w:t>
      </w:r>
    </w:p>
    <w:p>
      <w:r>
        <w:t>见证既有验证结果并审阅文件，未声称本人重新运行</w:t>
      </w:r>
    </w:p>
    <w:p>
      <w:pPr>
        <w:pStyle w:val="Heading1"/>
      </w:pPr>
      <w:r>
        <w:t>任务职责与交付</w:t>
      </w:r>
    </w:p>
    <w:p>
      <w:r>
        <w:t>本包固定manifest、控制事件、ACK、遥测、策略决策和渲染回执的v2.1线格式。JSON Schema与Python参考校验器对同一输入给出一致边界；ControlEventLedger负责跨消息幂等与序号。</w:t>
      </w:r>
    </w:p>
    <w:p>
      <w:r>
        <w:t>交付包括runtime_contract.py、runtime-contract-v2.1.schema.json、11个fixture、兼容字段过滤、迁移说明与TCP5010和UDP5005/5006端口登记。</w:t>
      </w:r>
    </w:p>
    <w:p>
      <w:pPr>
        <w:pStyle w:val="Heading1"/>
      </w:pPr>
      <w:r>
        <w:t>验收与当前复测</w:t>
      </w:r>
    </w:p>
    <w:p>
      <w:r>
        <w:t>AC1由合法fixture与Schema及Python差分测试支持。AC2覆盖缺字段、错版本、正式Mock、未知构建、重复控制和陈旧序号。AC3验证未知兼容字段校验后被过滤。</w:t>
      </w:r>
    </w:p>
    <w:p>
      <w:r>
        <w:t>2026年9月28日在D:/Agent/srp执行合同与CSV专项，结果53 passed；PowerShell消费者输出frame_seq=10,11。此次执行结果保存在Agent层evidence/verification.json，历史签收结论保持原范围。</w:t>
      </w:r>
    </w:p>
    <w:p>
      <w:pPr>
        <w:pStyle w:val="Heading1"/>
      </w:pPr>
      <w:r>
        <w:t>偏离发现与修复</w:t>
      </w:r>
    </w:p>
    <w:p>
      <w:r>
        <w:t>当前合同README仍将F-05 v2.2描述为候选待复核，与注册表DONE冲突。已修正入口状态说明；v2.1不可变，v2.2按独立版本与消费者适配入口使用。</w:t>
      </w:r>
    </w:p>
    <w:p>
      <w:r>
        <w:t>历史技术验收记录中仍有当时IN_REVIEW与旧测试计数，属于历史记录，不作为当前治理状态。当前Word明确引用真实签署日期和对象，避免把历史候选结论当成当前结论。</w:t>
      </w:r>
    </w:p>
    <w:p>
      <w:pPr>
        <w:pStyle w:val="Heading1"/>
      </w:pPr>
      <w:r>
        <w:t>上下游交接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pPr>
        <w:pStyle w:val="Heading1"/>
      </w:pPr>
      <w:r>
        <w:t>目录整理与下一包</w:t>
      </w:r>
    </w:p>
    <w:p>
      <w:r>
        <w:t>执行层采用TASK.md、inputs、execution、evidence、outputs、archive固定目录；人类总结只保留summary.docx。核心实现仍由共享模块原路径提供，最终根目录迁移需连同其消费者路径完成。</w:t>
      </w:r>
    </w:p>
    <w:p>
      <w:r>
        <w:t>下一包按注册表顺序进入F-02。串联时重点检查当前v1.2研究主线如何消费测量材料，以及历史DONE的范围与后续升级任务是否一致。</w:t>
      </w:r>
    </w:p>
    <w:p>
      <w:pPr>
        <w:pStyle w:val="Heading1"/>
      </w:pPr>
      <w:r>
        <w:t>审阅来源</w:t>
      </w:r>
    </w:p>
    <w:p>
      <w:r>
        <w:t>Agent层总结 agent/tasks/F-01/outputs/summary.json</w:t>
      </w:r>
    </w:p>
    <w:p>
      <w:r>
        <w:t>验证记录 agent/tasks/F-01/evidence/verification.json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