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S01 双设备同步与信号质量任务现状审阅</w:t>
      </w:r>
    </w:p>
    <w:p>
      <w:r>
        <w:t>审阅日期 2026-09-28    任务 S-01</w:t>
      </w:r>
    </w:p>
    <w:p>
      <w:pPr>
        <w:pStyle w:val="Heading1"/>
      </w:pPr>
      <w:r>
        <w:t>一 当前结论</w:t>
      </w:r>
    </w:p>
    <w:p>
      <w:r>
        <w:t>S-01仍WAIT_DEP、未领取；双设备时钟映射、实测SQI和误差报告未完成。修复连接即good与启动前标记已连接的问题；125项软件检查通过，不能代替同步或真实质量验收。</w:t>
      </w:r>
    </w:p>
    <w:p>
      <w:r>
        <w:t>原任务约4人日，前置D-01/D-02尚未完成。P-ANALYSIS为岗位，实际领取人为空；旧原型测试不能把本包推进DONE。</w:t>
      </w:r>
    </w:p>
    <w:p>
      <w:pPr>
        <w:pStyle w:val="Heading1"/>
      </w:pPr>
      <w:r>
        <w:t>二 目标与完成标准</w:t>
      </w:r>
    </w:p>
    <w:p>
      <w:r>
        <w:t>交付统一时间轴、质量四状态、降级原因和配置。AC1时钟偏差可重算；AC2覆盖丢包、漂移与断流故障；AC3质量不足不生成成功状态。技术预试取得冻结起点或明确NO_GO。</w:t>
      </w:r>
    </w:p>
    <w:p>
      <w:r>
        <w:t>技能包括同步、SQI、故障注入与Python测试；国内学习资料沿用L-DSP/L-PYTEST。阈值、窗口和误差验收值等待真实前测。</w:t>
      </w:r>
    </w:p>
    <w:p>
      <w:pPr>
        <w:pStyle w:val="Heading1"/>
      </w:pPr>
      <w:r>
        <w:t>三 实际交付</w:t>
      </w:r>
    </w:p>
    <w:p>
      <w:r>
        <w:t>建立固定五目录、当前时钟与质量交接、十项合同检查及本Word事实源；明确四状态与设备连接枚举不混用。</w:t>
      </w:r>
    </w:p>
    <w:p>
      <w:r>
        <w:t>共享DeviceManager在数据流启动成功后才标记已连接，连接质量保持unknown而不是good；补两项生命周期回归。未增加虚构SQI算法或时钟精度结果。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先读注册表、D-01/D-02原生采集、P-02记录与F-01/F-05字段，再检查DeviceManager及旧SignalPipeline。旧warmup/valid/invalid不是质量四状态。</w:t>
      </w:r>
    </w:p>
    <w:p>
      <w:r>
        <w:t>先用测试复现启动流前已有连接成功状态，再修正赋值顺序和质量标记；不改变正式协议Schema、不套用Unity显示上限作为SQI阈值。</w:t>
      </w:r>
    </w:p>
    <w:p>
      <w:pPr>
        <w:pStyle w:val="Heading1"/>
      </w:pPr>
      <w:r>
        <w:t>五 验证与结果</w:t>
      </w:r>
    </w:p>
    <w:p>
      <w:r>
        <w:t>首次生命周期测试失败，修复后28项共享采集、87项协议与十项当前交接检查，共125 passed。覆盖四状态合法输入、未知时钟拒绝、非GOOD原因要求及启动失败。</w:t>
      </w:r>
    </w:p>
    <w:p>
      <w:r>
        <w:t>没有执行双设备时钟校准、实际SQI、漂移/丢包真机实验或Unity/TD运行。软件合同通过只说明接口约定可消费。</w:t>
      </w:r>
    </w:p>
    <w:p>
      <w:pPr>
        <w:pStyle w:val="Heading1"/>
      </w:pPr>
      <w:r>
        <w:t>六 偏离与修复闭环</w:t>
      </w:r>
    </w:p>
    <w:p>
      <w:r>
        <w:t>连接即good把链路事实混同信号质量，已修复为unknown；流启动失败不产生已连接事实。旧signal_quality字符串字段保留为开发接口，不冒充v2.2数值SQI。</w:t>
      </w:r>
    </w:p>
    <w:p>
      <w:r>
        <w:t>原始设备时间可null但遥测校准量要求有限数，当前交接禁止用零或NaN填充未知。真实校准、质量配置与阈值仍未交付，UP-06保持开放。</w:t>
      </w:r>
    </w:p>
    <w:p>
      <w:pPr>
        <w:pStyle w:val="Heading1"/>
      </w:pPr>
      <w:r>
        <w:t>七 目录与文件整理</w:t>
      </w:r>
    </w:p>
    <w:p>
      <w:r>
        <w:t>没有旧S-01独立同步实现可迁移；新文件按inputs/execution/outputs/evidence/archive归属。共享代码不复制，旧评分与处理原型留给S-02继续审阅。</w:t>
      </w:r>
    </w:p>
    <w:p>
      <w:r>
        <w:t>旧呼吸带方案引用D-01归档，现行输入引用D-01/D-02。根目录共享技术模块统一迁移尚未完成。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D-01/D-02交原生时间戳、字节、序号及设备时钟域；S-01映射Python会话时间并提供分通道质量、偏差、漂移、不确定度。P-02保留原件与校准输入/结果，不覆盖L0。</w:t>
      </w:r>
    </w:p>
    <w:p>
      <w:r>
        <w:t>S-02消费质量与原生信号做交互状态估计；P-01保持顺序和时间权威。U-02/T-01只消费降级与监控，I-01验证双设备全链；连接、SQI、Actual成功与情绪结果不互相替代。</w:t>
      </w:r>
    </w:p>
    <w:p>
      <w:pPr>
        <w:pStyle w:val="Heading1"/>
      </w:pPr>
      <w:r>
        <w:t>九 审阅与责任签收</w:t>
      </w:r>
    </w:p>
    <w:p>
      <w:r>
        <w:t>实际成员领取并冻结输入，完成真实时钟与质量证据后再申请独立复核及第二人签收。当前WAIT_DEP不变，既有软件签署不能覆盖本包缺口。</w:t>
      </w:r>
    </w:p>
    <w:p>
      <w:r>
        <w:t>历史审核人 未签署    日期 尚未发生</w:t>
      </w:r>
    </w:p>
    <w:p>
      <w:r>
        <w:t>本轮Codex只做规范化和软件修复；没有实测时钟、真实SQI、独立设备复核或第二人签署，不代填PASS。</w:t>
      </w:r>
    </w:p>
    <w:p>
      <w:pPr>
        <w:pStyle w:val="Heading1"/>
      </w:pPr>
      <w:r>
        <w:t>十 收尾与下一包</w:t>
      </w:r>
    </w:p>
    <w:p>
      <w:r>
        <w:t>累计20/71包，剩余51，下一S-02。先修复Agent代码与事实，再生成本Word和串联审阅；明确路径提交推送，根目录迁移继续。</w:t>
      </w:r>
    </w:p>
    <w:p>
      <w:pPr>
        <w:pStyle w:val="Heading1"/>
      </w:pPr>
      <w:r>
        <w:t>十一 审阅来源</w:t>
      </w:r>
    </w:p>
    <w:p>
      <w:r>
        <w:t>当前结论依据注册表、双设备交接、共享DeviceManager、协议及已有消费端说明；真实取证尚未发生，全部待交付项在当前交接列出。</w:t>
      </w:r>
    </w:p>
    <w:p>
      <w:hyperlink r:id="rId10">
        <w:r>
          <w:t>当前同步与质量交接</w:t>
        </w:r>
      </w:hyperlink>
    </w:p>
    <w:p>
      <w:hyperlink r:id="rId11">
        <w:r>
          <w:t>连接状态修复</w:t>
        </w:r>
      </w:hyperlink>
    </w:p>
    <w:p>
      <w:hyperlink r:id="rId12">
        <w:r>
          <w:t>软件验证记录</w:t>
        </w:r>
      </w:hyperlink>
    </w:p>
    <w:p>
      <w:hyperlink r:id="rId13">
        <w:r>
          <w:t>国内技能资料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S-01/outputs/current-quality.md" TargetMode="External"/><Relationship Id="rId11" Type="http://schemas.openxmlformats.org/officeDocument/2006/relationships/hyperlink" Target="file:///D:/Agent/srp/agent/modules/01-%E6%95%B0%E6%8D%AE%E9%87%87%E9%9B%86/device_manager.py" TargetMode="External"/><Relationship Id="rId12" Type="http://schemas.openxmlformats.org/officeDocument/2006/relationships/hyperlink" Target="file:///D:/Agent/srp/agent/tasks/S-01/evidence/verification.json" TargetMode="External"/><Relationship Id="rId13" Type="http://schemas.openxmlformats.org/officeDocument/2006/relationships/hyperlink" Target="file:///D:/Agent/srp/agent/governance/01-%E9%A1%B9%E7%9B%AE%E7%AB%A0%E7%A8%8B%E4%B8%8E%E8%A7%84%E5%88%92/2026-08-05_SRP_IJHCI_%E5%85%A8%E9%A1%B9%E7%9B%AE1-12%E6%AD%A5%E8%A7%84%E5%88%92%E8%AE%BE%E8%AE%A1%E5%8C%85_v1.0/24_%E5%9B%A2%E9%98%9F%E4%BB%BB%E5%8A%A1%E4%B8%8E%E9%A1%B9%E7%9B%AE%E6%B2%BB%E7%90%86/08_%E4%BB%BB%E5%8A%A1%E6%8A%80%E8%83%BD%E4%B8%8E%E5%9B%BD%E5%86%85%E5%AD%A6%E4%B9%A0%E8%B5%84%E6%96%99_v1.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