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通用中文逐包任务模板</w:t>
      </w:r>
    </w:p>
    <w:p>
      <w:r>
        <w:t>一包一份，结论先行。适用于科研、编程、建模、开发和投资研究；随执行增量填写，不把计划写成结果。方括号内容替换为实际信息；无关项写“不适用”，必要时增删表格行。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705"/>
      </w:tblGrid>
      <w:tr>
        <w:trPr>
          <w:tblHeader/>
          <w:cantSplit/>
        </w:trPr>
        <w:tc>
          <w:tcPr>
            <w:tcW w:type="dxa" w:w="2268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任务身份</w:t>
            </w:r>
          </w:p>
        </w:tc>
        <w:tc>
          <w:tcPr>
            <w:tcW w:type="dxa" w:w="770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项目与任务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[项目名称] / [编号] / 【领域】[动作与交付对象]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版本与日期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[文档版本] / [更新日期] / [本次审阅对象版本或提交]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责任与领取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[唯一负责人] / [实施人或Agent] / [复核人或不适用] / [领取日期]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入口与状态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[权威任务文件可点击链接] / [注册状态] / [当前实际进展]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</w:pPr>
      <w:r>
        <w:t>一 当前结论</w:t>
      </w:r>
    </w:p>
    <w:p>
      <w:r>
        <w:t>[用两句话说明本包解决什么、目前完成到哪里，以及本次需要审阅人作出的决定。]</w:t>
      </w:r>
    </w:p>
    <w:p>
      <w:r>
        <w:t>本次请求：[仅知会 / 审阅方案 / 复核结果 / 真实责任人签收]；未关闭事项：[无，或事项与负责人]。</w:t>
      </w:r>
    </w:p>
    <w:p>
      <w:r>
        <w:t>当前状态以项目注册表为准；未有注册表时填写未领取、执行中、待复核或完成，不另建并行状态体系。</w:t>
      </w:r>
    </w:p>
    <w:p>
      <w:pPr>
        <w:pStyle w:val="Heading1"/>
      </w:pPr>
      <w:r>
        <w:t>二 目标与完成标准</w:t>
      </w:r>
    </w:p>
    <w:p>
      <w:r>
        <w:t>项目作用：[本包推动哪一项目目标]。范围：[本包承担什么，明确排除什么]。工作量：[预计人日或时间]。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195"/>
        <w:gridCol w:w="3566"/>
      </w:tblGrid>
      <w:tr>
        <w:trPr>
          <w:tblHeader/>
          <w:cantSplit/>
        </w:trPr>
        <w:tc>
          <w:tcPr>
            <w:tcW w:type="dxa" w:w="2211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验收编号</w:t>
            </w:r>
          </w:p>
        </w:tc>
        <w:tc>
          <w:tcPr>
            <w:tcW w:type="dxa" w:w="419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可检查的完成标准</w:t>
            </w:r>
          </w:p>
        </w:tc>
        <w:tc>
          <w:tcPr>
            <w:tcW w:type="dxa" w:w="3566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检查方式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AC-01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[交付对象、预期行为或结果]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[运行、复算、文件审阅等]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AC-02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[上游输入与下游接口要求]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[消费者或交接检查]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所需技能与资料：[必需技能、工具及实际版本、国内教学或视频标题和链接]；接口与规范以权威原文为准。资料只列完成本包必需的内容，不填未核验的链接。</w:t>
      </w:r>
    </w:p>
    <w:p>
      <w:r>
        <w:br w:type="page"/>
      </w:r>
    </w:p>
    <w:p>
      <w:pPr>
        <w:pStyle w:val="Heading1"/>
      </w:pPr>
      <w:r>
        <w:t>三 实际交付</w:t>
      </w:r>
    </w:p>
    <w:p>
      <w:r>
        <w:t>计划时填“拟交付”，完成后改为实物位置；链接应能打开文件或入口，不只写名称。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195"/>
        <w:gridCol w:w="3566"/>
      </w:tblGrid>
      <w:tr>
        <w:trPr>
          <w:tblHeader/>
          <w:cantSplit/>
        </w:trPr>
        <w:tc>
          <w:tcPr>
            <w:tcW w:type="dxa" w:w="2211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交付物</w:t>
            </w:r>
          </w:p>
        </w:tc>
        <w:tc>
          <w:tcPr>
            <w:tcW w:type="dxa" w:w="419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打开或运行入口</w:t>
            </w:r>
          </w:p>
        </w:tc>
        <w:tc>
          <w:tcPr>
            <w:tcW w:type="dxa" w:w="3566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对应验收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[主要交付物]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[文件链接 / 命令 / 制品入口]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[AC编号及当前状态]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</w:pPr>
      <w:r>
        <w:t>四 执行过程与关键决定</w:t>
      </w:r>
    </w:p>
    <w:p>
      <w:r>
        <w:t>输入与前置：[上游编号、实际输入位置、版本及是否就绪]。采用方案：[最终选择与一条实质理由]。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195"/>
        <w:gridCol w:w="3566"/>
      </w:tblGrid>
      <w:tr>
        <w:trPr>
          <w:tblHeader/>
          <w:cantSplit/>
        </w:trPr>
        <w:tc>
          <w:tcPr>
            <w:tcW w:type="dxa" w:w="2211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步骤与责任人</w:t>
            </w:r>
          </w:p>
        </w:tc>
        <w:tc>
          <w:tcPr>
            <w:tcW w:type="dxa" w:w="419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动作及阶段出口</w:t>
            </w:r>
          </w:p>
        </w:tc>
        <w:tc>
          <w:tcPr>
            <w:tcW w:type="dxa" w:w="3566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实际进展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1 明确输入 [人]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[确认需求与最小可检验结果]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[日期 / 状态 / 结果]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2 实施 [人]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[完成主要交付，对应AC]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[实际变化或阻断]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3 验证与交接 [人]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[完成必要验证，交给消费者]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[结果及接收情况]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如有方案变化，记录：[原方案 → 当前决定]、[实际理由]及[涉及验收或下游]。未发生变化不补写决策历史。</w:t>
      </w:r>
    </w:p>
    <w:p>
      <w:pPr>
        <w:pStyle w:val="Heading1"/>
      </w:pPr>
      <w:r>
        <w:t>五 验证与结果</w:t>
      </w:r>
    </w:p>
    <w:p>
      <w:r>
        <w:t>只记录本次实际执行的检查；未执行写明原因。测试通过、真实运行和研究结论分别表述。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195"/>
        <w:gridCol w:w="3566"/>
      </w:tblGrid>
      <w:tr>
        <w:trPr>
          <w:tblHeader/>
          <w:cantSplit/>
        </w:trPr>
        <w:tc>
          <w:tcPr>
            <w:tcW w:type="dxa" w:w="2211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验收项</w:t>
            </w:r>
          </w:p>
        </w:tc>
        <w:tc>
          <w:tcPr>
            <w:tcW w:type="dxa" w:w="419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实际验证及证据链接</w:t>
            </w:r>
          </w:p>
        </w:tc>
        <w:tc>
          <w:tcPr>
            <w:tcW w:type="dxa" w:w="3566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结果与可支持结论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[AC编号]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[命令 / 数据 / 截图 / 日期]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[通过、失败或未验证；结论范围]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[AC编号]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[重跑入口或必要来源]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[结果、数量或测量值]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研究、建模或投资任务按需补充：[数据与分析范围、基线比较、关键假设及结果]。不要用工程完成代替实证，也不要把回测写成未来事实。</w:t>
      </w:r>
    </w:p>
    <w:p>
      <w:r>
        <w:t>最小重跑说明：[工作目录]、[命令及必需输入]、[预期输出]。原始来源、假设、计算结果和推断分别写清，不复制受限数据或凭据。</w:t>
      </w:r>
    </w:p>
    <w:p>
      <w:r>
        <w:br w:type="page"/>
      </w:r>
    </w:p>
    <w:p>
      <w:pPr>
        <w:pStyle w:val="Heading1"/>
      </w:pPr>
      <w:r>
        <w:t>六 偏离与修复闭环</w:t>
      </w:r>
    </w:p>
    <w:p>
      <w:r>
        <w:t>按任务书、接口和项目目标检查真实偏离；没有发现时写检查范围，不列假想风险。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195"/>
        <w:gridCol w:w="3566"/>
      </w:tblGrid>
      <w:tr>
        <w:trPr>
          <w:tblHeader/>
          <w:cantSplit/>
        </w:trPr>
        <w:tc>
          <w:tcPr>
            <w:tcW w:type="dxa" w:w="2211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问题及实际影响</w:t>
            </w:r>
          </w:p>
        </w:tc>
        <w:tc>
          <w:tcPr>
            <w:tcW w:type="dxa" w:w="419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修复或裁定</w:t>
            </w:r>
          </w:p>
        </w:tc>
        <w:tc>
          <w:tcPr>
            <w:tcW w:type="dxa" w:w="3566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复测与责任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[真实问题或无]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[修改的权威文件及内容]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[证据 / 关闭状态 / 负责人]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Word中的修订意见应先落实到执行文件，再更新本报告；未关闭项明确责任人与下一动作。</w:t>
      </w:r>
    </w:p>
    <w:p>
      <w:pPr>
        <w:pStyle w:val="Heading1"/>
      </w:pPr>
      <w:r>
        <w:t>七 目录与文件整理</w:t>
      </w:r>
    </w:p>
    <w:p>
      <w:r>
        <w:t>当前有效入口：[输入、执行、证据和交付位置]。废弃或历史材料：[保留、归档或删除的对象及理由；无则写无]。</w:t>
      </w:r>
    </w:p>
    <w:p>
      <w:pPr>
        <w:pStyle w:val="Heading1"/>
      </w:pPr>
      <w:r>
        <w:t>八 上下游交接</w:t>
      </w:r>
    </w:p>
    <w:p>
      <w:r>
        <w:t>前向检查：下游能否直接消费本包交付。反向检查：本包是否覆盖项目目标要求，是否仍有缺口。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195"/>
        <w:gridCol w:w="3566"/>
      </w:tblGrid>
      <w:tr>
        <w:trPr>
          <w:tblHeader/>
          <w:cantSplit/>
        </w:trPr>
        <w:tc>
          <w:tcPr>
            <w:tcW w:type="dxa" w:w="2211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关系</w:t>
            </w:r>
          </w:p>
        </w:tc>
        <w:tc>
          <w:tcPr>
            <w:tcW w:type="dxa" w:w="419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交接内容与接收人</w:t>
            </w:r>
          </w:p>
        </w:tc>
        <w:tc>
          <w:tcPr>
            <w:tcW w:type="dxa" w:w="3566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当前条件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上游 [编号]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[实际输入与权威入口]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[就绪或缺口]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下游 [编号]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[交付、接口及接收人]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[可开始或仍待何条件]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项目总体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[对目标、研究或产品的具体作用]</w:t>
            </w:r>
          </w:p>
        </w:tc>
        <w:tc>
          <w:tcPr>
            <w:tcW w:type="dxa" w:w="356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[剩余缺口及承担任务]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交接判据：[消费者可以直接打开、运行或继续工作的具体条件]。未满足时指定承担后续动作的任务与责任人，不凭上游状态自动解锁。</w:t>
      </w:r>
    </w:p>
    <w:p>
      <w:r>
        <w:br w:type="page"/>
      </w:r>
    </w:p>
    <w:p>
      <w:pPr>
        <w:pStyle w:val="Heading1"/>
      </w:pPr>
      <w:r>
        <w:t>九 审阅与责任签收</w:t>
      </w:r>
    </w:p>
    <w:p>
      <w:r>
        <w:t>独立Agent复核与真实责任人签收分开记录；仅在任务要求时开展。未签收填“待签收”；不得代填姓名、日期或结论。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705"/>
      </w:tblGrid>
      <w:tr>
        <w:trPr>
          <w:tblHeader/>
          <w:cantSplit/>
        </w:trPr>
        <w:tc>
          <w:tcPr>
            <w:tcW w:type="dxa" w:w="2268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审阅环节</w:t>
            </w:r>
          </w:p>
        </w:tc>
        <w:tc>
          <w:tcPr>
            <w:tcW w:type="dxa" w:w="7705"/>
            <w:shd w:fill="EAF0F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实际记录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独立复核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[复核人或Agent / 日期 / 对象版本 / 结论 / 报告链接]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真实责任人签收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[姓名 / 日期 / PASS或退回 / 签收范围 / 原始记录]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真实活动或外部条件</w:t>
            </w:r>
          </w:p>
        </w:tc>
        <w:tc>
          <w:tcPr>
            <w:tcW w:type="dxa" w:w="770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t>[设备、现场、许可或平台回执；仅任务要求时填写]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完成层次：[实现] / [必要验证] / [独立复核] / [责任签收] / [发布或研究准入]。逐项填写真实状态，后项不由前项自动推导。</w:t>
      </w:r>
    </w:p>
    <w:p>
      <w:pPr>
        <w:pStyle w:val="Heading1"/>
      </w:pPr>
      <w:r>
        <w:t>十 收尾与下一包</w:t>
      </w:r>
    </w:p>
    <w:p>
      <w:r>
        <w:t>收尾：[交付位置；任务要求时填写commit、push、PR、合并或锁定版本]。</w:t>
      </w:r>
    </w:p>
    <w:p>
      <w:r>
        <w:t>下一包：[编号、领域与名称]；领取人：[姓名或未领取]；启动条件：[已满足或具体缺口]。下一必要动作：[一个明确动作及负责人]。</w:t>
      </w:r>
    </w:p>
    <w:p>
      <w:pPr>
        <w:pStyle w:val="Heading1"/>
      </w:pPr>
      <w:r>
        <w:t>十一 审阅来源</w:t>
      </w:r>
    </w:p>
    <w:p>
      <w:r>
        <w:t>任务权威：[链接]；执行与重跑入口：[链接]；本次证据：[链接]；历史签署：[链接或不适用]。来源只列支撑本包判断的材料，当前结果与历史结果分开。</w:t>
      </w:r>
    </w:p>
    <w:p>
      <w:r>
        <w:t>使用约定：小任务保留目标、交付、验证与责任即可压缩为一页；复杂任务增加必要附件，不逐日重复叙述。同一事实只写一次，其他位置引用。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逐包任务模板 v3.0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通用中文逐包任务模板</dc:title>
  <dc:subject>任务领取 执行 验收 交接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