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U12 03 两方案公平教学与形成性交接审阅</w:t>
      </w:r>
    </w:p>
    <w:p>
      <w:r>
        <w:t>审阅日期 2026-09-29    任务 U12-03</w:t>
      </w:r>
    </w:p>
    <w:p>
      <w:pPr>
        <w:pStyle w:val="Heading1"/>
      </w:pPr>
      <w:r>
        <w:t>一 当前结论</w:t>
      </w:r>
    </w:p>
    <w:p>
      <w:r>
        <w:t>U12-03保持IN_REVIEW。教学四文件及工具已归入Agent固定目录，原完整候选与冻结输入保留，五个实际消费者修复；180秒及教学时序仍是候选，真实片段、理解与正式冻结尚未完成。</w:t>
      </w:r>
    </w:p>
    <w:p>
      <w:r>
        <w:t>固定任务3人日，依赖U12-01/R-01；原领取Codex、分支codex/u12-03-fair-training。候选与冻结input_snapshot_id不改，真实第二人尚未签署。</w:t>
      </w:r>
    </w:p>
    <w:p>
      <w:pPr>
        <w:pStyle w:val="Heading1"/>
      </w:pPr>
      <w:r>
        <w:t>二 目标与完成标准</w:t>
      </w:r>
    </w:p>
    <w:p>
      <w:r>
        <w:t>AC1冻结来源与版本一致；AC2不改隐藏操纵、有限同预算，真实理解证据才关闭研究门；AC3候选、专项、独立审查和真实第二人对应，不代签外部条件。</w:t>
      </w:r>
    </w:p>
    <w:p>
      <w:r>
        <w:t>过程为核对研究与步骤、确定匹配教学、执行形成性及配对修订、独立复核并真实签收。材料设计接受不代表正式活动通过。</w:t>
      </w:r>
    </w:p>
    <w:p>
      <w:pPr>
        <w:pStyle w:val="Heading1"/>
      </w:pPr>
      <w:r>
        <w:t>三 实际交付</w:t>
      </w:r>
    </w:p>
    <w:p>
      <w:r>
        <w:t>固定TASK与五目录、当前来源及状态、活动教学四文件、生成器/验证器与测试、实际消费者迁移、原完整13文件归档。原待签署、独立报告和技术记录保留原字节。</w:t>
      </w:r>
    </w:p>
    <w:p>
      <w:r>
        <w:t>两臂180秒候选，七块20/30/30/30/30/20/20秒；每天气各一次示范与练习，storm两周期24秒、其他20秒。真实配音与片段时长尚未核验。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中性准备后先PANAS前测，再揭示条件及教学；800秒核心之后PANAS后测，最后理解与其他测量。时序仍待U12-04/U12-11正式冻结，800秒含四次25秒demo，不加第二份100秒。</w:t>
      </w:r>
    </w:p>
    <w:p>
      <w:r>
        <w:t>目标/实际/累计/不可用都教学，语义、预算、背景及语音匹配，仅载体定位不同；原生不等于隐藏。按分配天气顺序，不按掌握程度重复或筛慢学习者；帮助与停止如实记录。</w:t>
      </w:r>
    </w:p>
    <w:p>
      <w:pPr>
        <w:pStyle w:val="Heading1"/>
      </w:pPr>
      <w:r>
        <w:t>五 验证与结果</w:t>
      </w:r>
    </w:p>
    <w:p>
      <w:r>
        <w:t>83专项通过：原22合同、13文件字节、原9交付与6来源身份、4活动材料逐字节、冻结输入/候选及Q-02/E-02交接；V-01当前14节点校验通过。</w:t>
      </w:r>
    </w:p>
    <w:p>
      <w:r>
        <w:t>根635项回归及协议、治理、71任务注册、5分发包/61快照检查通过。原Pauli22项仅属历史复核；本轮不声称真实语音、片段、观察、正式时序或Unity/TD运行通过。</w:t>
      </w:r>
    </w:p>
    <w:p>
      <w:pPr>
        <w:pStyle w:val="Heading1"/>
      </w:pPr>
      <w:r>
        <w:t>六 偏离与修复闭环</w:t>
      </w:r>
    </w:p>
    <w:p>
      <w:r>
        <w:t>原合同与工具混在治理子目录，旧证据生成器引用已迁移测量说明。现分离活动输出/脚本与原候选，当前身份改用R-01/U12-02实际入口，不覆盖旧evidence.json。</w:t>
      </w:r>
    </w:p>
    <w:p>
      <w:r>
        <w:t>G-01/E-02/Q-02/R-01/V-01的实际读取和来源清单已修复；冻结包、原候选和成员交付不重写。旧入口只导航，原复核不自动用于新路径修改。</w:t>
      </w:r>
    </w:p>
    <w:p>
      <w:pPr>
        <w:pStyle w:val="Heading1"/>
      </w:pPr>
      <w:r>
        <w:t>七 目录与文件整理</w:t>
      </w:r>
    </w:p>
    <w:p>
      <w:r>
        <w:t>原13文件实际归档，活动四文件保持相同字节另存outputs，只有活动目录供下游读取；旧脚本不继续运行。固定目录分别存来源、执行、复测、交接与历史。</w:t>
      </w:r>
    </w:p>
    <w:p>
      <w:r>
        <w:t>先修Agent层事实和消费者，再生成Word；共享运行代码、Unity/TD及全部旧根业务资料仍待整体双层迁移。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U12-01给主线，R-01给四层，F-05给storm 3/3/3/3、heat 4/6、snow 5/5、fade 2.5/1.5/6；旧天气文字不覆盖步骤合同，独立实际不借目标补值。</w:t>
      </w:r>
    </w:p>
    <w:p>
      <w:r>
        <w:t>U-02/U-07/U12-09供同事件配对实片，Q-01/Q-02核验理解/帮助成本；U12-04/U12-11冻结处理估计、预算时序、阈值及回执，U12-06/X-01落实时间记录接线。真实观察未完成。</w:t>
      </w:r>
    </w:p>
    <w:p>
      <w:pPr>
        <w:pStyle w:val="Heading1"/>
      </w:pPr>
      <w:r>
        <w:t>九 审阅与责任签收</w:t>
      </w:r>
    </w:p>
    <w:p>
      <w:r>
        <w:t>原Pauli独立PASS针对9317候选。本轮只有作者Agent目录与软件复测，无新独立Agent复审，也无真人签收；IN_REVIEW不改。</w:t>
      </w:r>
    </w:p>
    <w:p>
      <w:r>
        <w:t>历史审核人 真实第二人待签署；原独立复核Pauli    日期 原独立审查2026-09-08 +08:00，真人日期待填写</w:t>
      </w:r>
    </w:p>
    <w:p>
      <w:r>
        <w:t>历史审核提交 9317f0b649547c2ae1d900fb39f6f486a9407baa</w:t>
      </w:r>
    </w:p>
    <w:p>
      <w:r>
        <w:t>原Pauli只读复核PASS，22项软件测试；本轮规范化由作者Agent执行，未产生新的独立复审或真实第二人签收。</w:t>
      </w:r>
    </w:p>
    <w:p>
      <w:pPr>
        <w:pStyle w:val="Heading1"/>
      </w:pPr>
      <w:r>
        <w:t>十 收尾与下一包</w:t>
      </w:r>
    </w:p>
    <w:p>
      <w:r>
        <w:t>累计62/71包规范化，余9，下一U12-04。教学候选不当作业务DONE，整体根目录物理迁移与运行引用修复尚未完成。</w:t>
      </w:r>
    </w:p>
    <w:p>
      <w:pPr>
        <w:pStyle w:val="Heading1"/>
      </w:pPr>
      <w:r>
        <w:t>十一 审阅来源</w:t>
      </w:r>
    </w:p>
    <w:p>
      <w:r>
        <w:t>原合同、教学/形成性与空表、原13文件及其哈希、Pauli报告、待签署报告、冻结分发输入、当前R-01/U12-02以及G-01/E-02/Q-02/V-01消费者。空记录与合成检查不是实测数据。</w:t>
      </w:r>
    </w:p>
    <w:p>
      <w:hyperlink r:id="rId10">
        <w:r>
          <w:t>当前公平教学交接</w:t>
        </w:r>
      </w:hyperlink>
    </w:p>
    <w:p>
      <w:hyperlink r:id="rId11">
        <w:r>
          <w:t>活动合同</w:t>
        </w:r>
      </w:hyperlink>
    </w:p>
    <w:p>
      <w:hyperlink r:id="rId12">
        <w:r>
          <w:t>本轮验证</w:t>
        </w:r>
      </w:hyperlink>
    </w:p>
    <w:p>
      <w:hyperlink r:id="rId13">
        <w:r>
          <w:t>迁移与消费者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U12-03/outputs/current-training.md" TargetMode="External"/><Relationship Id="rId11" Type="http://schemas.openxmlformats.org/officeDocument/2006/relationships/hyperlink" Target="file:///D:/Agent/srp/agent/tasks/U12-03/outputs/contract.json" TargetMode="External"/><Relationship Id="rId12" Type="http://schemas.openxmlformats.org/officeDocument/2006/relationships/hyperlink" Target="file:///D:/Agent/srp/agent/tasks/U12-03/evidence/verification.json" TargetMode="External"/><Relationship Id="rId13" Type="http://schemas.openxmlformats.org/officeDocument/2006/relationships/hyperlink" Target="file:///D:/Agent/srp/agent/tasks/U12-03/evidence/consumer-impac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