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本文件由71包Agent层总结串联生成，检查实际交付、上下游衔接及项目偏离。规范化与任务业务状态分开；未完成的运行、研究和审批仍由原任务承担。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FIXED_PHYSICAL_ROOT_MIGRATION_AND_RUNTIME_CHECKS：19项根目录已实际迁入双层，当前运行消费者及Word来源经验证；业务状态不变</w:t>
      </w:r>
    </w:p>
    <w:p>
      <w:pPr>
        <w:pStyle w:val="Heading1"/>
      </w:pPr>
      <w:r>
        <w:t>逐包整理结果</w:t>
      </w:r>
    </w:p>
    <w:p>
      <w:pPr>
        <w:keepNext/>
      </w:pPr>
      <w:r>
        <w:t>已整理71包，待整理0包；根目录双层整理已完成并验证。下一项业务任务按注册表推进。</w:t>
      </w:r>
    </w:p>
    <w:p>
      <w:pPr>
        <w:pStyle w:val="Heading1"/>
        <w:pageBreakBefore/>
      </w:pPr>
      <w:r>
        <w:t>根目录物理迁移</w:t>
      </w:r>
    </w:p>
    <w:p>
      <w:r>
        <w:t>实际迁移19/19项，尚余0项；整体双层整理已完成并验证。逐包整理不代替运行入口、生成器、历史原件及当前Word来源检查。</w:t>
      </w:r>
    </w:p>
    <w:p>
      <w:r>
        <w:t>work → agent/work；00-项目管理 → agent/governance</w:t>
      </w:r>
    </w:p>
    <w:p>
      <w:r>
        <w:t>01-需求与设计 → agent/design；02-技术研发 → agent/modules</w:t>
      </w:r>
    </w:p>
    <w:p>
      <w:r>
        <w:t>03-测试与实验 → agent/validation；04-成果与交付 → agent/delivery</w:t>
      </w:r>
    </w:p>
    <w:p>
      <w:r>
        <w:t>srp参考文献 → agent/references；Tools → agent/tools/governance</w:t>
      </w:r>
    </w:p>
    <w:p>
      <w:r>
        <w:t>assets → human/assets；output → human/deliverables</w:t>
      </w:r>
    </w:p>
    <w:p>
      <w:r>
        <w:t>PROJECT_FRAMEWORK.md → agent/archive/project/PROJECT_FRAMEWORK.md；PROJECT_MODULES.md → human/project/PROJECT_MODULES.md</w:t>
      </w:r>
    </w:p>
    <w:p>
      <w:r>
        <w:t>README_run.md → agent/archive/runtime/README_run.md；_archive → agent/archive/local</w:t>
      </w:r>
    </w:p>
    <w:p>
      <w:r>
        <w:t>_worktrees → agent/local/worktrees；tmp → agent/local/tmp</w:t>
      </w:r>
    </w:p>
    <w:p>
      <w:r>
        <w:t>.tools → agent/local/tools；.artifacts-local → agent/local/artifacts</w:t>
      </w:r>
    </w:p>
    <w:p>
      <w:r>
        <w:t>.pytest_cache → agent/local/pytest-cache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pPr>
        <w:pStyle w:val="Heading2"/>
      </w:pPr>
      <w:r>
        <w:t>迁移批次历史记录</w:t>
      </w:r>
    </w:p>
    <w:p>
      <w:r>
        <w:t>以下为各批完成时的原始记录，其中下一步和未完成表述保留当时语境；当前结果以上方逐包整理结果及根目录归属表为准。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p>
      <w:r>
        <w:t>治理权威已实际迁入agent/governance。813个原文件中750个字节未变，其余为当前读取器或导航修正；历史签署、五个分发包与外部来源原件未改。60个有测试入口的任务包全部通过，根回归635项通过；71包、330个Word来源链接和5分发61快照校验通过。15份Word仅修正24个来源链接，正文和其余内部文件未改。业务状态与正式研究资格不变。</w:t>
      </w:r>
    </w:p>
    <w:p>
      <w:r>
        <w:t>设计来源、验证原件和参考文献已实际迁入Agent层。297个已跟踪原文件中295个字节未变，两份当前导航修正；5份Word仅改来源链接。历史签署与冻结分发保持原件。文献库仍隔离：库存106条、实际101份PDF，缺少来源字段等问题未解除；目录迁移不产生新的论文证据。</w:t>
      </w:r>
    </w:p>
    <w:p>
      <w:r>
        <w:t>共享Python、Unity和TD工程已实际迁入agent/modules，修正仓库定位、测试与启动路径。根Python635项、Unity EditMode105项及PlayMode4项通过；TD2025.32820隔离重开12项与UDP恢复8项通过。889个原文件与23个分发输入引用留存原始身份，签署和冻结快照不改写；当前文档链接随迁移修正。实际设备链、正式准入和研究结果仍不在本次验证范围。</w:t>
      </w:r>
    </w:p>
    <w:p>
      <w:r>
        <w:t>六类本机目录已实际迁入Agent层，48件已跟踪样片逐字节保留；本机历史、工具、缓存和其他QA材料仍不发布。历史媒体配置通过当前读取入口解析新位置，不改原件或业务签收。V-04八项媒体门及800秒深度解码通过，根Python635项、60包专项通过；TD隔离重开12项和UDP恢复8项通过，五分发包61快照保持。根目录19/19已实际迁移，当前单包历史进度表述待从Agent源刷新；整体目标暂不标完成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