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A03 测量计分与合成可行性审阅</w:t>
      </w:r>
    </w:p>
    <w:p>
      <w:r>
        <w:t>审阅日期 2026-09-29    任务 A-03</w:t>
      </w:r>
    </w:p>
    <w:p>
      <w:pPr>
        <w:pStyle w:val="Heading1"/>
      </w:pPr>
      <w:r>
        <w:t>一 当前结论</w:t>
      </w:r>
    </w:p>
    <w:p>
      <w:r>
        <w:t>A-03仍IN_PROGRESS，SPEC仅原范围DONE。旧入口及正态锚点实际归档，正式能力说明订正，CLI禁止覆盖报告；U12-04候选签收已交接，REAL/CAL和正式数值仍未完成。</w:t>
      </w:r>
    </w:p>
    <w:p>
      <w:r>
        <w:t>历史领取Codex、业务分支codex/a-03-spec，当前只进行规范化；5人日、P-ANALYSIS。领取时间未记不补造，整个A-03状态与冻结输入不变。</w:t>
      </w:r>
    </w:p>
    <w:p>
      <w:pPr>
        <w:pStyle w:val="Heading1"/>
      </w:pPr>
      <w:r>
        <w:t>二 目标与完成标准</w:t>
      </w:r>
    </w:p>
    <w:p>
      <w:r>
        <w:t>AC1构念独立，SCCI只作操纵；AC2项目差异、FDR、缺失和冻结原因码；AC3有界模拟覆盖上限、同复制两集共同通过、差异性缺失与完整可行性报告。正式验收还需REAL/CAL真实证据。</w:t>
      </w:r>
    </w:p>
    <w:p>
      <w:r>
        <w:t>五日按范围及字段、计分、模型及真实适配、模拟、下游复跑签收推进；技能与原领取包国内资料见TASK.md。当前PANAS主要比较与独立功能护栏分开。</w:t>
      </w:r>
    </w:p>
    <w:p>
      <w:pPr>
        <w:pStyle w:val="Heading1"/>
      </w:pPr>
      <w:r>
        <w:t>三 实际交付</w:t>
      </w:r>
    </w:p>
    <w:p>
      <w:r>
        <w:t>建立统一五目录、当前统计说明/结构化范围、来源、核验和复现工具。旧README及正态锚点工具原文归档，保留历史签署、估计目标和报告。</w:t>
      </w:r>
    </w:p>
    <w:p>
      <w:r>
        <w:t>修复CLI对已有报告覆盖，改排他创建；纯模拟、计分、门序不变。scope_impact补现有U12-04候选签署，不新签、不自动冻结。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实际代码正式PANAS始终拒绝、正式联合门始终不可评估，旧README描述过度已订正。序数拟合仅候选，旧八项理解fixture不替代U12-02步骤实例测量。</w:t>
      </w:r>
    </w:p>
    <w:p>
      <w:r>
        <w:t>历史24/85/96合成共同通过概率和NO_GO只证明旧假设检查，不能当新版PANAS功效、最终N或阻止预设情绪比较。U12-04候选SAP签收与REAL/CAL分开。</w:t>
      </w:r>
    </w:p>
    <w:p>
      <w:pPr>
        <w:pStyle w:val="Heading1"/>
      </w:pPr>
      <w:r>
        <w:t>五 验证与结果</w:t>
      </w:r>
    </w:p>
    <w:p>
      <w:r>
        <w:t>39项专项通过：原SPEC31项加本包8项；新CLI负例、签署身份、当前来源和冻结包通过。固定种子复现三个1000次报告，写独立新目录并逐项比较历史JSON；结果见本轮证据。</w:t>
      </w:r>
    </w:p>
    <w:p>
      <w:r>
        <w:t>635项根回归通过，候选SAP、历史协议、71项注册表和5包61快照通过。软件与合成证据不替代量表许可、真实数据适配、盲态校准或正式研究冻结。</w:t>
      </w:r>
    </w:p>
    <w:p>
      <w:pPr>
        <w:pStyle w:val="Heading1"/>
      </w:pPr>
      <w:r>
        <w:t>六 偏离与修复闭环</w:t>
      </w:r>
    </w:p>
    <w:p>
      <w:r>
        <w:t>修复正式能力说明与覆盖签收报告两处偏离，旧原件留存。新规格待审/null已落后于U12-04真实签署，回填精确候选；原签署范围不扩大。</w:t>
      </w:r>
    </w:p>
    <w:p>
      <w:r>
        <w:t>真实字段适配、序数模型、两分析集/缺失实现及Level C回执仍缺。旧正常近似工具活动入口移除，历史内联路径通过归档表解释，不改历史冻结基线。</w:t>
      </w:r>
    </w:p>
    <w:p>
      <w:pPr>
        <w:pStyle w:val="Heading1"/>
      </w:pPr>
      <w:r>
        <w:t>七 目录与文件整理</w:t>
      </w:r>
    </w:p>
    <w:p>
      <w:r>
        <w:t>archive保留旧README和锚点原字节；当前工具输出新runtime，不覆盖历史报告。共享模块仍按实际归属维护，根目录19/19项已迁入human/agent，当前读取和运行入口已验证，业务签收不变。</w:t>
      </w:r>
    </w:p>
    <w:p>
      <w:r>
        <w:t>领取manifest、TASK、FILES与快照不刷新，SPEC报告和三里程碑原件保持不变。新规范化Word只从当前Agent输出生成。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A-01交真实L3与六类原件引用，A-02交两分析集和缺失流程，U12-02交步骤实例测量，U12-04交已签收候选SAP；旧八项fixture不是新测量。REAL仍未完成，不提前释放真实数据资格。</w:t>
      </w:r>
    </w:p>
    <w:p>
      <w:r>
        <w:t>SPEC按原依赖供X-01；REAL供Q-03，E-03的Level C盲态材料供CAL，U12-11/G-03消费回执与冻结配置。A-05完整报告PANAS、护栏及过程结果，Z-01消费复现入口；不因可选策略扩展等待而隐藏核心结果。</w:t>
      </w:r>
    </w:p>
    <w:p>
      <w:pPr>
        <w:pStyle w:val="Heading1"/>
      </w:pPr>
      <w:r>
        <w:t>九 审阅与责任签收</w:t>
      </w:r>
    </w:p>
    <w:p>
      <w:r>
        <w:t>原SPEC历史真人签收保留。U12-04傅钧烨2026-09-21 PASS对象d701a4054a4a36030d37335efa65d67a93ed35c3是候选SAP与合成证据，不是A-03整体或正式冻结。本轮无新独立Agent或真人签署。</w:t>
      </w:r>
    </w:p>
    <w:p>
      <w:r>
        <w:t>历史审核人 傅钧烨    日期 2026-09-06 +08:00</w:t>
      </w:r>
    </w:p>
    <w:p>
      <w:r>
        <w:t>历史审核提交 4071c84bc03ab9d80f7ce5997034fe27737e5d51</w:t>
      </w:r>
    </w:p>
    <w:p>
      <w:r>
        <w:t>审阅精确SPEC候选、已有机器与独立Agent复审结果，未称本人重跑。签收提交1f5f81b3d34ef9c90ddc30f9ec507ef28048525f；不涵盖本轮修订、REAL/CAL或整个A-03。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业务状态IN_PROGRESS，原签收与未交付项不变；后续按注册表和实际依赖推进。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当前注册表、冻结领取包、三里程碑、原SPEC签署与实际计分/模拟代码、U12-04真实候选签署、A-01/A-02当前交接。历史锚点不作为本轮正式结论。</w:t>
      </w:r>
    </w:p>
    <w:p>
      <w:hyperlink r:id="rId10">
        <w:r>
          <w:t>当前统计与里程碑交接</w:t>
        </w:r>
      </w:hyperlink>
    </w:p>
    <w:p>
      <w:hyperlink r:id="rId11">
        <w:r>
          <w:t>实际范围与未完成项</w:t>
        </w:r>
      </w:hyperlink>
    </w:p>
    <w:p>
      <w:hyperlink r:id="rId12">
        <w:r>
          <w:t>本轮核验结果</w:t>
        </w:r>
      </w:hyperlink>
    </w:p>
    <w:p>
      <w:hyperlink r:id="rId13">
        <w:r>
          <w:t>原签署与消费者影响</w:t>
        </w:r>
      </w:hyperlink>
    </w:p>
    <w:p>
      <w:hyperlink r:id="rId14">
        <w:r>
          <w:t>过程验收与资料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A-03/outputs/current-statistics.md" TargetMode="External"/><Relationship Id="rId11" Type="http://schemas.openxmlformats.org/officeDocument/2006/relationships/hyperlink" Target="file:///D:/Agent/srp/agent/tasks/A-03/outputs/current-statistics.json" TargetMode="External"/><Relationship Id="rId12" Type="http://schemas.openxmlformats.org/officeDocument/2006/relationships/hyperlink" Target="file:///D:/Agent/srp/agent/tasks/A-03/evidence/verification.json" TargetMode="External"/><Relationship Id="rId13" Type="http://schemas.openxmlformats.org/officeDocument/2006/relationships/hyperlink" Target="file:///D:/Agent/srp/agent/tasks/A-03/evidence/consumer-impact.md" TargetMode="External"/><Relationship Id="rId14" Type="http://schemas.openxmlformats.org/officeDocument/2006/relationships/hyperlink" Target="file:///D:/Agent/srp/agent/tasks/A-03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