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A05 阶段一锁定分析交接审阅</w:t>
      </w:r>
    </w:p>
    <w:p>
      <w:r>
        <w:t>审阅日期 2026-09-29    任务 A-05</w:t>
      </w:r>
    </w:p>
    <w:p>
      <w:pPr>
        <w:pStyle w:val="Heading1"/>
      </w:pPr>
      <w:r>
        <w:t>一 当前结论</w:t>
      </w:r>
    </w:p>
    <w:p>
      <w:r>
        <w:t>A-05仍BLOCKED_EXTERNAL、未领取未签收；真实锁定输入、授权和完整分析流水线尚缺。旧问卷说明已实际归档，当前交接对齐PANAS主比较、独立功能护栏和过程结果；合成工具验证不代表真实效果。</w:t>
      </w:r>
    </w:p>
    <w:p>
      <w:r>
        <w:t>固定任务约5人日，依赖A-02、A-03、E-04；分析、数据授权、独立复跑和结果接收人均未实名。本轮交付执行说明和空结果提纲，不生成效应、CI、FDR或研究结论。</w:t>
      </w:r>
    </w:p>
    <w:p>
      <w:pPr>
        <w:pStyle w:val="Heading1"/>
      </w:pPr>
      <w:r>
        <w:t>二 目标与完成标准</w:t>
      </w:r>
    </w:p>
    <w:p>
      <w:r>
        <w:t>AC1全部结果来自同一锁定数据，PANAS与设备指标分别报告；AC2功能或操纵检查失败不隐去有效情绪比较；AC3报告正向、反向、小差异和不确定结果，未冻结时不宣称等效；AC4可选训练仅用批准轨迹和合法在线状态。</w:t>
      </w:r>
    </w:p>
    <w:p>
      <w:r>
        <w:t>过程为核对锁定输入与授权、确定冻结模型和分析集、生成全部预设结果、独立复跑及图表关联、交A-06和论文任务；当前真实前置均未完成。</w:t>
      </w:r>
    </w:p>
    <w:p>
      <w:pPr>
        <w:pStyle w:val="Heading1"/>
      </w:pPr>
      <w:r>
        <w:t>三 实际交付</w:t>
      </w:r>
    </w:p>
    <w:p>
      <w:r>
        <w:t>建立TASK及五目录、18项真实来源、当前分析说明和机器状态、NOT_RUN空结果提纲；验证脚本消费实际HC3、BH和候选SAP实现。</w:t>
      </w:r>
    </w:p>
    <w:p>
      <w:r>
        <w:t>旧问卷原件移入archive并保留字节，原路径改当前导航；第11步、统计入口、任务手册及历史验证消费者对齐。没有修改原协议Schema、原签署或在研输入快照。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PANAS负性后测的候选ANCOVA调整前测及随机分层，native-minus-abstract负值有利原生；HC3、双侧0.05与95%CI仍须正式SAP冻结，不把体验后PF/SCCI/努力加入主模型。</w:t>
      </w:r>
    </w:p>
    <w:p>
      <w:r>
        <w:t>所有随机分配分析与完整四模块PF资格分别处理；传感器失败不丢有效问卷，操作完成不等于分析可评估。前测先于条件教学是当前待冻结时序，比较范围含完整提示方案而非单独视觉机制。</w:t>
      </w:r>
    </w:p>
    <w:p>
      <w:pPr>
        <w:pStyle w:val="Heading1"/>
      </w:pPr>
      <w:r>
        <w:t>五 验证与结果</w:t>
      </w:r>
    </w:p>
    <w:p>
      <w:r>
        <w:t>70项专项28.29秒通过，覆盖A-05交接、A-02、U12-04合同及A-03规格；已知合成方向和BH结果核验实际工具，正式PANAS计分仍拒绝未完成CAL。</w:t>
      </w:r>
    </w:p>
    <w:p>
      <w:r>
        <w:t>根pytest 635项49.57秒通过；候选SAP、历史协议、v1.2治理、71项注册和5包61快照检查通过。没有真实数据分析、Unity/TD、设备运行、锁库、正式冻结或新签署。</w:t>
      </w:r>
    </w:p>
    <w:p>
      <w:pPr>
        <w:pStyle w:val="Heading1"/>
      </w:pPr>
      <w:r>
        <w:t>六 偏离与修复闭环</w:t>
      </w:r>
    </w:p>
    <w:p>
      <w:r>
        <w:t>旧问卷把阶段一PANAS作背景且条件教学先于前测，实际归档后改当前入口。结果分轴报告，功能失败不隐藏情绪比较，跨零不等于等效或抽象获胜。</w:t>
      </w:r>
    </w:p>
    <w:p>
      <w:r>
        <w:t>U12-04活动SAP已订正观测/完成集与48总人数，实际工具修正拟合自由度并迁入Agent层，旧签署保留。新活动修订待复核；正式MI/MNAR与完整四模块资格仍缺，BH helper不是完整FDR流水线。</w:t>
      </w:r>
    </w:p>
    <w:p>
      <w:pPr>
        <w:pStyle w:val="Heading1"/>
      </w:pPr>
      <w:r>
        <w:t>七 目录与文件整理</w:t>
      </w:r>
    </w:p>
    <w:p>
      <w:r>
        <w:t>一个旧原件按原字节迁入archive；输入、执行、证据、输出和归档固定归属，错误日志不带受限身份。先修Agent当前事实，再生成本总结和串联Word。</w:t>
      </w:r>
    </w:p>
    <w:p>
      <w:r>
        <w:t>空结果提纲没有统计数值、授权或签名，不伪造U12-10分类器或训练manifest；根目录19/19项已迁入human/agent，当前读取和运行入口已验证，业务签收不变。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E-04交真实锁库及揭盲授权，A-01交原件重建，A-02交机会计数/资格/缺失，A-03及U12-11交真实冻结SAP；现有候选工具不能替代这些交付。</w:t>
      </w:r>
    </w:p>
    <w:p>
      <w:r>
        <w:t>A-06、W-02/W-03消费同一主张—结果—图表—输入—代码链，U12-10按冻结规则分类；核心论文不依赖阶段三。若批准训练，参与者分组且只用决策前状态，后测仅作离线标签。</w:t>
      </w:r>
    </w:p>
    <w:p>
      <w:pPr>
        <w:pStyle w:val="Heading1"/>
      </w:pPr>
      <w:r>
        <w:t>九 审阅与责任签收</w:t>
      </w:r>
    </w:p>
    <w:p>
      <w:r>
        <w:t>分析负责人、数据授权人、独立复跑人、结果复核人、论文接收人和可选训练批准人仍待实名；当前未填姓名、PASS或DONE。候选规格历史签收与A-05真实分析签收分开。</w:t>
      </w:r>
    </w:p>
    <w:p>
      <w:r>
        <w:t>历史审核人 未签收    日期 无</w:t>
      </w:r>
    </w:p>
    <w:p>
      <w:r>
        <w:t>A-05没有真实签署。本轮为目录规范化及候选合成核查，没有新独立Agent审核或真人签收；U12-04原签收仅限候选SAP。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业务状态BLOCKED_EXTERNAL，原签收与未交付项不变；后续按注册表和实际依赖推进。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实际注册与v1.2协议、A-01至A-03、E-04、X-02、U12-04原签收及候选源码、U12-07空表和旧问卷原件；本轮无新网页研究或真人活动。</w:t>
      </w:r>
    </w:p>
    <w:p>
      <w:hyperlink r:id="rId10">
        <w:r>
          <w:t>当前阶段一分析交接</w:t>
        </w:r>
      </w:hyperlink>
    </w:p>
    <w:p>
      <w:hyperlink r:id="rId11">
        <w:r>
          <w:t>实际能力与缺口</w:t>
        </w:r>
      </w:hyperlink>
    </w:p>
    <w:p>
      <w:hyperlink r:id="rId12">
        <w:r>
          <w:t>未执行结果提纲</w:t>
        </w:r>
      </w:hyperlink>
    </w:p>
    <w:p>
      <w:hyperlink r:id="rId13">
        <w:r>
          <w:t>候选签署范围和修订影响</w:t>
        </w:r>
      </w:hyperlink>
    </w:p>
    <w:p>
      <w:hyperlink r:id="rId14">
        <w:r>
          <w:t>专项和回归证据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A-05/outputs/current-analysis.md" TargetMode="External"/><Relationship Id="rId11" Type="http://schemas.openxmlformats.org/officeDocument/2006/relationships/hyperlink" Target="file:///D:/Agent/srp/agent/tasks/A-05/outputs/current-analysis.json" TargetMode="External"/><Relationship Id="rId12" Type="http://schemas.openxmlformats.org/officeDocument/2006/relationships/hyperlink" Target="file:///D:/Agent/srp/agent/tasks/A-05/outputs/analysis-report-template.json" TargetMode="External"/><Relationship Id="rId13" Type="http://schemas.openxmlformats.org/officeDocument/2006/relationships/hyperlink" Target="file:///D:/Agent/srp/agent/tasks/A-05/evidence/consumer-impact.md" TargetMode="External"/><Relationship Id="rId14" Type="http://schemas.openxmlformats.org/officeDocument/2006/relationships/hyperlink" Target="file:///D:/Agent/srp/agent/tasks/A-05/evidence/verification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