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A06 实际研究范围关闭与论文交接审阅</w:t>
      </w:r>
    </w:p>
    <w:p>
      <w:r>
        <w:t>审阅日期 2026-09-29    任务 A-06</w:t>
      </w:r>
    </w:p>
    <w:p>
      <w:pPr>
        <w:pStyle w:val="Heading1"/>
      </w:pPr>
      <w:r>
        <w:t>一 当前结论</w:t>
      </w:r>
    </w:p>
    <w:p>
      <w:r>
        <w:t>A-06仍WAIT_DEP，未领取未签收。已规范核心/扩展两路线、三台账真实来源核查、元数据与外层签署的区别及双人责任；真实结果、台账核对和范围回执仍缺。</w:t>
      </w:r>
    </w:p>
    <w:p>
      <w:r>
        <w:t>固定任务4人日，依赖A-05|U12-10，未领取未签收。A-05真实分析、U12-10分类、实际三台账核对与范围回执尚缺，生产关闭实例未创建。</w:t>
      </w:r>
    </w:p>
    <w:p>
      <w:pPr>
        <w:pStyle w:val="Heading1"/>
      </w:pPr>
      <w:r>
        <w:t>二 目标与完成标准</w:t>
      </w:r>
    </w:p>
    <w:p>
      <w:r>
        <w:t>AC1阶段一锁定结果及真实NO_STAGE3回执足以进入核心稿，未开展扩展不假DONE；AC2任一阶段三活动须消费A-04/U12-08及结果、偏离、停止、回退；AC3两路线无环，缺结果/回执或隐去活动时不能关闭。</w:t>
      </w:r>
    </w:p>
    <w:p>
      <w:r>
        <w:t>四段为锁定结果与角色、三台账完整来源核对、核心/扩展路线和独立复核、真实双人签署后论文交接。最终关闭不是开展扩展的前置许可。</w:t>
      </w:r>
    </w:p>
    <w:p>
      <w:pPr>
        <w:pStyle w:val="Heading1"/>
      </w:pPr>
      <w:r>
        <w:t>三 实际交付</w:t>
      </w:r>
    </w:p>
    <w:p>
      <w:r>
        <w:t>TASK和五目录、15项实际来源、当前范围说明/机器状态、NOT_RUN空审阅提纲、真实接口的合成验证入口。没有签名、正式范围回执、投稿或公开记录。</w:t>
      </w:r>
    </w:p>
    <w:p>
      <w:r>
        <w:t>第11步两入口、治理v1.2导航和v2.0手册同步；Agent规范化说明旧44/71与下一B-01订正为当前机器进度。共享治理代码保留单一入口，没有旧A-06实例可搬移。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三类台账分别为分配、暴露和B-03实例，任一部分/取消/停止活动都不能被省略。三表总行数不是唯一人数，B-03空登记不证明无活动；真实保管者须核对完整来源。</w:t>
      </w:r>
    </w:p>
    <w:p>
      <w:r>
        <w:t>路线函数只返回A06_ROUTE_METADATA_ONLY及authorization=false；完整治理DONE分支另核对真实Git候选、已跟踪报告、字节身份及标记。当前普通治理PASS没有执行真实A-06 DONE分支。</w:t>
      </w:r>
    </w:p>
    <w:p>
      <w:pPr>
        <w:pStyle w:val="Heading1"/>
      </w:pPr>
      <w:r>
        <w:t>五 验证与结果</w:t>
      </w:r>
    </w:p>
    <w:p>
      <w:r>
        <w:t>62专项通过，直接使用当前v1.2路线：核心元数据路径、三类部分活动、缺A-05/U12-10或扩展分析/四结果族、台账缺失/篡改/计数错误和布尔值代替证据均核对。</w:t>
      </w:r>
    </w:p>
    <w:p>
      <w:r>
        <w:t>合成内层ok=true时，真实外层函数仍因候选不是Git提交、签署报告不存在而拒绝，证明两个检查层不相互替代。根635项回归及协议、治理、注册、分发通过，实际命令见verification.json；不生成实际研究结论。</w:t>
      </w:r>
    </w:p>
    <w:p>
      <w:pPr>
        <w:pStyle w:val="Heading1"/>
      </w:pPr>
      <w:r>
        <w:t>六 偏离与修复闭环</w:t>
      </w:r>
    </w:p>
    <w:p>
      <w:r>
        <w:t>发现规范化说明仍停44/71，与实际55包队列不一致，已用当前机器进度订正并注明下方逐包内容是历史，不再由旧文字决定下一包。</w:t>
      </w:r>
    </w:p>
    <w:p>
      <w:r>
        <w:t>一般交付四阶段改为实际范围关闭四阶段，真实来源核查、双人签收和W-02其他前置明确。规范化不能关闭真实台账/结果/签署缺口。</w:t>
      </w:r>
    </w:p>
    <w:p>
      <w:pPr>
        <w:pStyle w:val="Heading1"/>
      </w:pPr>
      <w:r>
        <w:t>七 目录与文件整理</w:t>
      </w:r>
    </w:p>
    <w:p>
      <w:r>
        <w:t>TASK、inputs、execution、evidence、outputs、archive固定归属。现有route_evaluator、关闭Schema及15_validate_audit_upgrade是共享实现，只引用不重复搬移；旧第11步原件在E-04。</w:t>
      </w:r>
    </w:p>
    <w:p>
      <w:r>
        <w:t>先修Agent与消费者，再生成单包/串联Word。生产Schema要求PASS，故未签署的空提纲不冒充符合Schema的生产实例；受限原件及填妥台账留获准仓库外。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A-05交同版锁定结果和图表，U12-10交真实分类/主张复核；数据保管者交三台账与授权。已有扩展则E-06/A-04/U12-08交全部范围、结果和偏离/停止/回退。当前未齐，不完成范围关闭。</w:t>
      </w:r>
    </w:p>
    <w:p>
      <w:r>
        <w:t>W-02仍依赖W-01、A-06、U12-07，单一范围回执不能自动解锁所有写作条件。W-02/W-03用同版主张—结果—图表—输入—代码；W-04/U12-12后续交接，关闭不自动授权采集、投稿或公开受限数据。</w:t>
      </w:r>
    </w:p>
    <w:p>
      <w:pPr>
        <w:pStyle w:val="Heading1"/>
      </w:pPr>
      <w:r>
        <w:t>九 审阅与责任签收</w:t>
      </w:r>
    </w:p>
    <w:p>
      <w:r>
        <w:t>研究负责人、真实第二人、数据保管者待实名。receipt只有一个reviewer字段，注册要求的双人证据需在真实报告分别落实，软件标记不能证明真人身份或权限。</w:t>
      </w:r>
    </w:p>
    <w:p>
      <w:r>
        <w:t>历史审核人 未签收    日期 无</w:t>
      </w:r>
    </w:p>
    <w:p>
      <w:r>
        <w:t>没有A-06真人签署。本轮是作者Agent接口与合成检查，不产生独立研究复核或真实范围授权。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业务状态WAIT_DEP，原签收与未交付项不变；后续按注册表和实际依赖推进。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实际注册、治理选择与v1.2路线、路线函数/关闭Schema/外层签署检查、A-05/A-04/E-06/B-03实际交接和既有治理测试。未新增网页研究、真实人员或外部回执。</w:t>
      </w:r>
    </w:p>
    <w:p>
      <w:hyperlink r:id="rId10">
        <w:r>
          <w:t>实际范围关闭交接</w:t>
        </w:r>
      </w:hyperlink>
    </w:p>
    <w:p>
      <w:hyperlink r:id="rId11">
        <w:r>
          <w:t>当前状态与缺口</w:t>
        </w:r>
      </w:hyperlink>
    </w:p>
    <w:p>
      <w:hyperlink r:id="rId12">
        <w:r>
          <w:t>未签署审阅提纲</w:t>
        </w:r>
      </w:hyperlink>
    </w:p>
    <w:p>
      <w:hyperlink r:id="rId13">
        <w:r>
          <w:t>实际验证结果</w:t>
        </w:r>
      </w:hyperlink>
    </w:p>
    <w:p>
      <w:hyperlink r:id="rId14">
        <w:r>
          <w:t>消费者修正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A-06/outputs/current-scope.md" TargetMode="External"/><Relationship Id="rId11" Type="http://schemas.openxmlformats.org/officeDocument/2006/relationships/hyperlink" Target="file:///D:/Agent/srp/agent/tasks/A-06/outputs/current-scope.json" TargetMode="External"/><Relationship Id="rId12" Type="http://schemas.openxmlformats.org/officeDocument/2006/relationships/hyperlink" Target="file:///D:/Agent/srp/agent/tasks/A-06/outputs/scope-review-template.json" TargetMode="External"/><Relationship Id="rId13" Type="http://schemas.openxmlformats.org/officeDocument/2006/relationships/hyperlink" Target="file:///D:/Agent/srp/agent/tasks/A-06/evidence/verification.json" TargetMode="External"/><Relationship Id="rId14" Type="http://schemas.openxmlformats.org/officeDocument/2006/relationships/hyperlink" Target="file:///D:/Agent/srp/agent/tasks/A-06/evidence/consumer-impac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