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Q02 认知访谈与可访问预试交接审阅</w:t>
      </w:r>
    </w:p>
    <w:p>
      <w:r>
        <w:t>审阅日期 2026-09-29    任务 Q-02</w:t>
      </w:r>
    </w:p>
    <w:p>
      <w:pPr>
        <w:pStyle w:val="Heading1"/>
      </w:pPr>
      <w:r>
        <w:t>一 当前结论</w:t>
      </w:r>
    </w:p>
    <w:p>
      <w:r>
        <w:t>Q-02仍WAIT_DEP、未领取且无签署。本轮补齐固定结构、访谈提纲与空白记录，53项专项通过；真实人数、两臂四结构片段、活动与最终回归未完成，不把材料整理当Level B关闭。</w:t>
      </w:r>
    </w:p>
    <w:p>
      <w:r>
        <w:t>约5人日，依赖U-08/Q-01/U12-02/U12-03；注册领取人、复核人为空。工具与真人E-02执行分工保留，原Q-01材料DONE不替代E-01真实内容审查。</w:t>
      </w:r>
    </w:p>
    <w:p>
      <w:pPr>
        <w:pStyle w:val="Heading1"/>
      </w:pPr>
      <w:r>
        <w:t>二 目标与完成标准</w:t>
      </w:r>
    </w:p>
    <w:p>
      <w:r>
        <w:t>AC1两条件四结构及SCCI/四层理解逐题执行；AC2混淆、猜测、可访问失败有修订或保留理由；AC3修订后完整表示方案审计和Unity回归通过。空白材料与软件测试不能单独满足这些条件。</w:t>
      </w:r>
    </w:p>
    <w:p>
      <w:r>
        <w:t>五天过程为输入冻结、材料与答案隔离、演练、分轮真实执行与修订、实际回归交接。国内研究方法和Unity测试入口保留原资料，不增加无需求工具。</w:t>
      </w:r>
    </w:p>
    <w:p>
      <w:pPr>
        <w:pStyle w:val="Heading1"/>
      </w:pPr>
      <w:r>
        <w:t>三 实际交付</w:t>
      </w:r>
    </w:p>
    <w:p>
      <w:r>
        <w:t>新TASK及五目录、当前Level B说明/JSON、逐题访谈提纲、作答与修订两份空CSV、来源与消费者影响。不存在本包旧工具，未虚构归档、已实现问卷前端或真人汇总结果。</w:t>
      </w:r>
    </w:p>
    <w:p>
      <w:r>
        <w:t>模板分别记录独立作答、缺失、追问、帮助及版本；修订表记录双编码、分歧、保留理由、配对回归和复测。受限原件和填好记录不进仓库。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旧手册通用联调过程不适用，当前TASK改认知访谈过程；原F-02人数每臂12至16与E-02当前12至16人记录不同，总量、每臂和轮次均待研究冻结，不静默减半或乘二。</w:t>
      </w:r>
    </w:p>
    <w:p>
      <w:r>
        <w:t>完整路径后测后独立作答再追问；专门教学检查另标FORMATIVE_TRAINING_ONLY，不并入情绪比较。核心无问答或思维出声，每人一条件一次核心，新修订轮用新人。</w:t>
      </w:r>
    </w:p>
    <w:p>
      <w:pPr>
        <w:pStyle w:val="Heading1"/>
      </w:pPr>
      <w:r>
        <w:t>五 验证与结果</w:t>
      </w:r>
    </w:p>
    <w:p>
      <w:r>
        <w:t>53项专项通过，其中8项本包核对及45项既有步骤材料行为；生成器按原字节重算通过。覆盖注册/角色、人数冲突、教学时序、主结果不设报告门、空表必需字段及题面不含私有答案。</w:t>
      </w:r>
    </w:p>
    <w:p>
      <w:r>
        <w:t>根Python、注册表与独立分发复测结果见evidence/regression.json。软件核验不证明真实双条件片段、心理测量有效、真人覆盖、Unity运行或许可；本轮不新签收。</w:t>
      </w:r>
    </w:p>
    <w:p>
      <w:pPr>
        <w:pStyle w:val="Heading1"/>
      </w:pPr>
      <w:r>
        <w:t>六 偏离与修复闭环</w:t>
      </w:r>
    </w:p>
    <w:p>
      <w:r>
        <w:t>旧需求猜测让单条件参与者评价第一种/第二种，当前改末尾开放询问，不展示另一组或预先透露效果假设。猜测和理解低只作解释，不删有效PANAS；SCCI仍只作操纵检查。</w:t>
      </w:r>
    </w:p>
    <w:p>
      <w:r>
        <w:t>候选五分钟只计独立问卷，追问和PANAS另计；达标时间未测保持null，不用180秒教学预算代填。旧百分比修改触发未移植为当前冻结阈值，答案不匹配先停用并记录。</w:t>
      </w:r>
    </w:p>
    <w:p>
      <w:pPr>
        <w:pStyle w:val="Heading1"/>
      </w:pPr>
      <w:r>
        <w:t>七 目录与文件整理</w:t>
      </w:r>
    </w:p>
    <w:p>
      <w:r>
        <w:t>执行层只留TASK及inputs/execution/evidence/outputs/archive。原合同、共享题库和签署保持唯一原件；原本无Q-02专属目录或旧工具，不做假清理。</w:t>
      </w:r>
    </w:p>
    <w:p>
      <w:r>
        <w:t>根README与AGENTS新增当前交接，规范化进度和串联Word同步。注册及冻结分发输入不改，不因结构整理生成业务SVG；根目录19/19项已迁入human/agent，当前读取和运行入口已验证，业务签收不变。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Q-01/E-01交真实构念审查，U12-02交八题同源题面和私有键，U12-03交公平教学，U-08交八呈现真实成品；两条件同事件/题/答案，实际未知不可从目标补写。</w:t>
      </w:r>
    </w:p>
    <w:p>
      <w:r>
        <w:t>E-02须先落实真实负责人、人数/轮次、U12-05与G-05对应资格及片段版本。Q-03仍依赖其他任务；U12-04/U12-11冻结使用与分析，W/A只消费真实理解、帮助与适用边界，不能用功能不足隐去情绪比较。</w:t>
      </w:r>
    </w:p>
    <w:p>
      <w:pPr>
        <w:pStyle w:val="Heading1"/>
      </w:pPr>
      <w:r>
        <w:t>九 审阅与责任签收</w:t>
      </w:r>
    </w:p>
    <w:p>
      <w:r>
        <w:t>本轮结构与材料整理由Codex完成；Q-02工具领取人、E-02活动负责人、两编码者、Unity修订人与研究冻结负责人未落实。没有真人或新独立Agent复核，不借上游签名填PASS。</w:t>
      </w:r>
    </w:p>
    <w:p>
      <w:r>
        <w:t>历史审核人 未签收    日期 无</w:t>
      </w:r>
    </w:p>
    <w:p>
      <w:r>
        <w:t>未找到本包签署或独立实现；本轮Codex材料检查不代表新增独立Agent或真人复核。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业务状态WAIT_DEP，原签收与未交付项不变；后续按注册表和实际依赖推进。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任务注册表/手册、原F-02、当前F/Q/U交接、U12-02题库与标注说明、U12-03合同及v1.2研究权威。本轮无联网重检、新真人数据或机构回执。</w:t>
      </w:r>
    </w:p>
    <w:p>
      <w:hyperlink r:id="rId10">
        <w:r>
          <w:t>当前Level B与未关闭条件</w:t>
        </w:r>
      </w:hyperlink>
    </w:p>
    <w:p>
      <w:hyperlink r:id="rId11">
        <w:r>
          <w:t>逐题访谈与修订提纲</w:t>
        </w:r>
      </w:hyperlink>
    </w:p>
    <w:p>
      <w:hyperlink r:id="rId12">
        <w:r>
          <w:t>当前状态与人数来源</w:t>
        </w:r>
      </w:hyperlink>
    </w:p>
    <w:p>
      <w:hyperlink r:id="rId13">
        <w:r>
          <w:t>专项验证证据</w:t>
        </w:r>
      </w:hyperlink>
    </w:p>
    <w:p>
      <w:hyperlink r:id="rId14">
        <w:r>
          <w:t>任务过程与验收责任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Q-02/outputs/current-level-b.md" TargetMode="External"/><Relationship Id="rId11" Type="http://schemas.openxmlformats.org/officeDocument/2006/relationships/hyperlink" Target="file:///D:/Agent/srp/agent/tasks/Q-02/outputs/interview-guide.md" TargetMode="External"/><Relationship Id="rId12" Type="http://schemas.openxmlformats.org/officeDocument/2006/relationships/hyperlink" Target="file:///D:/Agent/srp/agent/tasks/Q-02/outputs/current-level-b.json" TargetMode="External"/><Relationship Id="rId13" Type="http://schemas.openxmlformats.org/officeDocument/2006/relationships/hyperlink" Target="file:///D:/Agent/srp/agent/tasks/Q-02/evidence/verification.json" TargetMode="External"/><Relationship Id="rId14" Type="http://schemas.openxmlformats.org/officeDocument/2006/relationships/hyperlink" Target="file:///D:/Agent/srp/agent/tasks/Q-02/TAS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