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R01 四层表示方案与当前适用审阅</w:t>
      </w:r>
    </w:p>
    <w:p>
      <w:r>
        <w:t>审阅日期 2026-09-28    任务 R-01</w:t>
      </w:r>
    </w:p>
    <w:p>
      <w:pPr>
        <w:pStyle w:val="Heading1"/>
      </w:pPr>
      <w:r>
        <w:t>一 当前结论</w:t>
      </w:r>
    </w:p>
    <w:p>
      <w:r>
        <w:t>R-01历史DONE只覆盖候选设计材料。校验器实际迁入Agent并补足Schema执行，13项回归通过；当前入口与v1.2、F-02及四层实现对齐。旧Gate 2报告门和旧天气提案不再指导当前研究。真人复核、四天气配置和真实渲染证据仍开放。</w:t>
      </w:r>
    </w:p>
    <w:p>
      <w:r>
        <w:t>原生产者GPT Deep Research+Codex，本轮Codex整理。保留候选材料及模型审核原件，通过当前适用说明修复消费者使用口径；规范化不等于新研究设计已冻结。</w:t>
      </w:r>
    </w:p>
    <w:p>
      <w:pPr>
        <w:pStyle w:val="Heading1"/>
      </w:pPr>
      <w:r>
        <w:t>二 目标与完成标准</w:t>
      </w:r>
    </w:p>
    <w:p>
      <w:r>
        <w:t>原包约4人日。AC1四层来源、时间尺度、禁止耦合和失败可审查；AC2两条件按完整方案定义，不作单机制归因；AC3六类混杂可测，工程候选区间与真实冻结分开。</w:t>
      </w:r>
    </w:p>
    <w:p>
      <w:r>
        <w:t>前置F-02。所需交互设计、JSON Schema与公平性审查技能，国内学习资料使用项目L-RESEARCH/L-MARKDOWN，来源链接列于末页。</w:t>
      </w:r>
    </w:p>
    <w:p>
      <w:pPr>
        <w:pStyle w:val="Heading1"/>
      </w:pPr>
      <w:r>
        <w:t>三 实际交付</w:t>
      </w:r>
    </w:p>
    <w:p>
      <w:r>
        <w:t>TASK及五目录、当前四层适用说明、消费者影响记录、13项Schema回归、本包Word与串联Word。旧校验器迁至execution/validate_candidate.py，删除原路径，不留转发副本。</w:t>
      </w:r>
    </w:p>
    <w:p>
      <w:r>
        <w:t>历史候选、独立Schema、两份storm合法fixture、四类负例和最小理解题真值保留原位置；这些不是四天气已实现的配置。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先对照v1.2与F-02当前入口，再核对U-02生命周期和V-04有效裁定。主要收益回到前测校正PANAS后测，SCCI只承担操纵检查，旧联合门不隐去预设情绪结果。</w:t>
      </w:r>
    </w:p>
    <w:p>
      <w:r>
        <w:t>fade水系提示对应具体步骤；全屏复色是两条件共享的有效时间动画，不表示累计成功，不随呼吸边界变速。当前固定镜头和场景表现不被旧设计候选覆盖。</w:t>
      </w:r>
    </w:p>
    <w:p>
      <w:pPr>
        <w:pStyle w:val="Heading1"/>
      </w:pPr>
      <w:r>
        <w:t>五 验证与结果</w:t>
      </w:r>
    </w:p>
    <w:p>
      <w:r>
        <w:t>实际Draft 2020-12元校验通过，两份合法fixture通过，四个定向负例在预期JSON路径被拒绝。13项回归另覆盖非法条件、时间区间、版本和目标来源；不是仅检查JSON键存在。</w:t>
      </w:r>
    </w:p>
    <w:p>
      <w:r>
        <w:t>当前v1.2主要结果报告、原生非隐藏和SCCI角色三项对应检查通过。没有运行Unity、真实专家、认知访谈或参与者实验，也没有将设计Schema当成v2.2网络合同。</w:t>
      </w:r>
    </w:p>
    <w:p>
      <w:pPr>
        <w:pStyle w:val="Heading1"/>
      </w:pPr>
      <w:r>
        <w:t>六 偏离与修复闭环</w:t>
      </w:r>
    </w:p>
    <w:p>
      <w:r>
        <w:t>R01-N01：旧研究门和主张层级与当前研究冲突，已在Agent当前适用入口裁定，不改写历史正文。R01-N02：旧校验器未实际调用Schema，本轮补足并以13项正负回归复测。</w:t>
      </w:r>
    </w:p>
    <w:p>
      <w:r>
        <w:t>R01-N03：原验收明示没有真实双签，仍交团队总监安排。R01-N04：交付清单说四模块fixture，但实际只有storm双条件示例，不能声称完整配置覆盖；由U-03至U-07补真实四结构。</w:t>
      </w:r>
    </w:p>
    <w:p>
      <w:pPr>
        <w:pStyle w:val="Heading1"/>
      </w:pPr>
      <w:r>
        <w:t>七 目录与文件整理</w:t>
      </w:r>
    </w:p>
    <w:p>
      <w:r>
        <w:t>执行入口迁入固定execution目录，结果写evidence，交接写outputs。历史共享材料暂留原目录，避免更改已领取U12-03冻结输入；内嵌JSON历史文本不复制为新的执行输入。最终共享目录统一迁移尚未完成。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F-02和U12-02提供当前测量角色与步骤身份；P-01负责时间和流程，U-01/U-02负责网络与只读四层逻辑，TD不成为Unity体验依赖。</w:t>
      </w:r>
    </w:p>
    <w:p>
      <w:r>
        <w:t>V-01/V-03及V-05/U-03至U-07消费语义、匹配要求与有效视觉合同；Q-01/Q-02和S-02提供真实评审、理解和标注。W-01/W-02仅按实际比较证据提出边界。U12-03保持领取快照，复核另读消费者影响记录。</w:t>
      </w:r>
    </w:p>
    <w:p>
      <w:pPr>
        <w:pStyle w:val="Heading1"/>
      </w:pPr>
      <w:r>
        <w:t>九 审阅与责任签收</w:t>
      </w:r>
    </w:p>
    <w:p>
      <w:r>
        <w:t>历史候选审查并非真人第二人签收，本轮不改变注册表DONE含义，不填写不存在的签字或提交。本轮由Codex执行技术复测，独立真人活动及最终设计冻结归下游。</w:t>
      </w:r>
    </w:p>
    <w:p>
      <w:r>
        <w:t>历史审核人 Codex独立AC审查（模型，不是团队第二人）    日期 2026-08-06</w:t>
      </w:r>
    </w:p>
    <w:p>
      <w:r>
        <w:t>原验收PASS_FOR_CANDIDATE_PACKAGE明确是模型候选审查；未记录真实团队双签，本轮不补署傅钧烨或虚构签收提交。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下列链接分别打开当前适用入口、实际复测、历史模型验收、消费者影响和国内学习资料。Word事实从Agent层修复后生成；历史原件不升级为本轮真实结果。</w:t>
      </w:r>
    </w:p>
    <w:p>
      <w:hyperlink r:id="rId10">
        <w:r>
          <w:t>当前表示方案适用</w:t>
        </w:r>
      </w:hyperlink>
    </w:p>
    <w:p>
      <w:hyperlink r:id="rId11">
        <w:r>
          <w:t>本次Schema验证</w:t>
        </w:r>
      </w:hyperlink>
    </w:p>
    <w:p>
      <w:hyperlink r:id="rId12">
        <w:r>
          <w:t>消费者变更影响</w:t>
        </w:r>
      </w:hyperlink>
    </w:p>
    <w:p>
      <w:hyperlink r:id="rId13">
        <w:r>
          <w:t>历史模型验收</w:t>
        </w:r>
      </w:hyperlink>
    </w:p>
    <w:p>
      <w:hyperlink r:id="rId14">
        <w:r>
          <w:t>国内技能与学习资料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R-01/outputs/current-representation.md" TargetMode="External"/><Relationship Id="rId11" Type="http://schemas.openxmlformats.org/officeDocument/2006/relationships/hyperlink" Target="file:///D:/Agent/srp/agent/tasks/R-01/evidence/verification.json" TargetMode="External"/><Relationship Id="rId12" Type="http://schemas.openxmlformats.org/officeDocument/2006/relationships/hyperlink" Target="file:///D:/Agent/srp/agent/tasks/R-01/evidence/consumer-impact.md" TargetMode="External"/><Relationship Id="rId13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0_%E4%BA%A7%E5%93%81%E4%B8%8E%E5%9C%BA%E6%99%AF%E8%AE%BE%E8%AE%A1/R-01_%E5%9B%9B%E5%B1%82%E8%A1%A8%E7%A4%BA%E6%96%B9%E6%A1%88/R-01_%E9%AA%8C%E6%94%B6%E8%AE%B0%E5%BD%95.md" TargetMode="External"/><Relationship Id="rId14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