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T02 人工标记中止请求与告警现状审阅</w:t>
      </w:r>
    </w:p>
    <w:p>
      <w:r>
        <w:t>审阅日期 2026-09-29    任务 T-02</w:t>
      </w:r>
    </w:p>
    <w:p>
      <w:pPr>
        <w:pStyle w:val="Heading1"/>
      </w:pPr>
      <w:r>
        <w:t>一 当前结论</w:t>
      </w:r>
    </w:p>
    <w:p>
      <w:r>
        <w:t>T-02仍READY、未领取。15份旧TD引导与遥控原件已归档；276项专项和635项根回归通过。实际TD请求仍统一拒绝，人工标记、请求ACK、告警历史及操作录像未交付；本轮不构成业务签收。</w:t>
      </w:r>
    </w:p>
    <w:p>
      <w:r>
        <w:t>前置T-01/P-01，约3人日，P-DEV；交付人工标记、中止请求、告警和审计视图。已有上游DONE限定在原验收范围，不能覆盖T-02未实现功能。</w:t>
      </w:r>
    </w:p>
    <w:p>
      <w:pPr>
        <w:pStyle w:val="Heading1"/>
      </w:pPr>
      <w:r>
        <w:t>二 目标与完成标准</w:t>
      </w:r>
    </w:p>
    <w:p>
      <w:r>
        <w:t>AC1请求只到Python；AC2每次请求有请求ACK和审计；AC3直控Unity、调阈值必须拒绝。需请求日志、权限负测试和实际TD操作录像，且不成为会话状态权威。</w:t>
      </w:r>
    </w:p>
    <w:p>
      <w:r>
        <w:t>过程按接口冻结、最小请求及记录实现、真实操作与负例验证三天推进。任务名保留TouchDesigner领域；技能和国内资料在TASK.md，不在规范化期间虚构领取人或新增业务接口。</w:t>
      </w:r>
    </w:p>
    <w:p>
      <w:pPr>
        <w:pStyle w:val="Heading1"/>
      </w:pPr>
      <w:r>
        <w:t>三 实际交付</w:t>
      </w:r>
    </w:p>
    <w:p>
      <w:r>
        <w:t>建立TASK与五目录、当前请求现状JSON/Markdown、来源、原件迁移表、消费者影响及核验入口。READY包从研究v1.1更新到v1.2，并补当前工作单、P-02及实际Python方法输入。</w:t>
      </w:r>
    </w:p>
    <w:p>
      <w:r>
        <w:t>旧引导构建/修改脚本、OSC/HTTP任意代码编辑遥控、两份文档和三份TOE共15份实际归档，原文/字节保留；当前文档入口导航修复。T-01/F-04制品及历史签署不改。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实际TCP5010 TD握手可接受，但mark、abort和非法控制都返回TD_STATE_CHANGE_NOT_AVAILABLE。不是请求ACK，也不是完成权限正向验收；不能把所有消息被拒绝解释为功能完成。</w:t>
      </w:r>
    </w:p>
    <w:p>
      <w:r>
        <w:t>SessionCore内部只接受start/pause/abort，manual_mark返回UNKNOWN_OPERATOR_ACTION。标记应由Python耐久记录服务实现、不转换核心；中止沿RecordingSessionCore和SessionRuntimeHost，不能绕回裸核心或TD直送Unity。</w:t>
      </w:r>
    </w:p>
    <w:p>
      <w:pPr>
        <w:pStyle w:val="Heading1"/>
      </w:pPr>
      <w:r>
        <w:t>五 验证与结果</w:t>
      </w:r>
    </w:p>
    <w:p>
      <w:r>
        <w:t>276项专项通过，其中27项本包现状/归档/本机TCP/存储重放测试，249项已有P-01/P-02及T-01/F-04回归。内部v2.2 abort、重复拒绝、L1审计和无网络重放实测通过，但没有实现TD请求。</w:t>
      </w:r>
    </w:p>
    <w:p>
      <w:r>
        <w:t>根pytest635项通过；71项注册表、5个独立包61份快照通过。分发校验最初因新来源未暂存拒绝，按既有规则明确暂存后通过。三个冻结包及V-05与HEAD无差异；没有启动TD、Unity或真实设备。</w:t>
      </w:r>
    </w:p>
    <w:p>
      <w:pPr>
        <w:pStyle w:val="Heading1"/>
      </w:pPr>
      <w:r>
        <w:t>六 偏离与修复闭环</w:t>
      </w:r>
    </w:p>
    <w:p>
      <w:r>
        <w:t>旧活动目录混入TD参与者引导、缺失补零和任意脚本遥控，已原文归档并提供当前导航。原型名称和旧文档不再指向活动执行工具；开发mcp组件保留，但不是操作员请求协议。</w:t>
      </w:r>
    </w:p>
    <w:p>
      <w:r>
        <w:t>T-01禁用按钮无T-02功能。请求handler、专属ACK、耐久mark、告警确认/历史、原生A主题实际运行、操作录像及真实责任人仍缺；本轮只明确缺口，不添加模拟完成。</w:t>
      </w:r>
    </w:p>
    <w:p>
      <w:pPr>
        <w:pStyle w:val="Heading1"/>
      </w:pPr>
      <w:r>
        <w:t>七 目录与文件整理</w:t>
      </w:r>
    </w:p>
    <w:p>
      <w:r>
        <w:t>每包固定TASK、inputs、execution、evidence、outputs、archive；15份原件按迁移前字节数与SHA-256核验，限定归档-text保持原字节。两份原文入口替换为导航，历史内部关系保留。</w:t>
      </w:r>
    </w:p>
    <w:p>
      <w:r>
        <w:t>生成器附带重写V-05上一轮变更元数据，已恢复其原字段；V-05输入内容未变。根目录19/19项已迁入human/agent，当前读取和运行入口已验证，业务签收不变。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T-01提供只读遥测、计数与质量来源；P-01提供核心和控制，P-02提供耐久记录及离线消费。T-02应分开请求接受、记录结果、Unity控制ACK与渲染回执；socket发送不代表中止已执行。</w:t>
      </w:r>
    </w:p>
    <w:p>
      <w:r>
        <w:t>告警确认只改变本地已读，不改变SQI、阈值、顺序或核心状态；TD缺席不阻断体验。A-01消费人工标记时与原始设备数据、在线事实和离线重算分别处理。</w:t>
      </w:r>
    </w:p>
    <w:p>
      <w:r>
        <w:t>UI13至UI16是本包核心；UI17至UI20的快照、截图、归档、事件导出是已提出但未实现的扩展，分别验收。完整会话导出经Python和G-02权限，TD不直读受限原件。</w:t>
      </w:r>
    </w:p>
    <w:p>
      <w:pPr>
        <w:pStyle w:val="Heading1"/>
      </w:pPr>
      <w:r>
        <w:t>九 审阅与责任签收</w:t>
      </w:r>
    </w:p>
    <w:p>
      <w:r>
        <w:t>没有T-02历史真人签署、领取人或第二复核人。本轮只规范化并核验已有能力，业务READY不变。后续实际操作者提交请求日志、权限负例与TD录像后再按流程复核签收。</w:t>
      </w:r>
    </w:p>
    <w:p>
      <w:r>
        <w:t>历史审核人 未签署    日期 尚未发生</w:t>
      </w:r>
    </w:p>
    <w:p>
      <w:r>
        <w:t>Codex本轮审阅实际源码、清理旧文件并运行Python与本机TCP核验；没有TD操作或新真人签署，不代填负责人。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业务状态READY，原签收与未交付项不变；后续按注册表和实际依赖推进。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依据注册表、T-01当前交接/工作台设计、P-01实际方法、P-02代理和存储Schema；不使用旧OSC或禁用界面作验收证据。新分发仅更新未领取READY T-02，冻结输入及签署原件不改。</w:t>
      </w:r>
    </w:p>
    <w:p>
      <w:hyperlink r:id="rId10">
        <w:r>
          <w:t>当前操作员请求和告警交接</w:t>
        </w:r>
      </w:hyperlink>
    </w:p>
    <w:p>
      <w:hyperlink r:id="rId11">
        <w:r>
          <w:t>实际接口状态与未实现项</w:t>
        </w:r>
      </w:hyperlink>
    </w:p>
    <w:p>
      <w:hyperlink r:id="rId12">
        <w:r>
          <w:t>现状复测和运行边界</w:t>
        </w:r>
      </w:hyperlink>
    </w:p>
    <w:p>
      <w:hyperlink r:id="rId13">
        <w:r>
          <w:t>原件归档与保留理由</w:t>
        </w:r>
      </w:hyperlink>
    </w:p>
    <w:p>
      <w:hyperlink r:id="rId14">
        <w:r>
          <w:t>实施过程验收和国内资料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T-02/outputs/current-operator-contract.md" TargetMode="External"/><Relationship Id="rId11" Type="http://schemas.openxmlformats.org/officeDocument/2006/relationships/hyperlink" Target="file:///D:/Agent/srp/agent/tasks/T-02/outputs/current-operator-contract.json" TargetMode="External"/><Relationship Id="rId12" Type="http://schemas.openxmlformats.org/officeDocument/2006/relationships/hyperlink" Target="file:///D:/Agent/srp/agent/tasks/T-02/evidence/verification.json" TargetMode="External"/><Relationship Id="rId13" Type="http://schemas.openxmlformats.org/officeDocument/2006/relationships/hyperlink" Target="file:///D:/Agent/srp/agent/tasks/T-02/archive/README.md" TargetMode="External"/><Relationship Id="rId14" Type="http://schemas.openxmlformats.org/officeDocument/2006/relationships/hyperlink" Target="file:///D:/Agent/srp/agent/tasks/T-02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