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04 PANAS主结果统计规格与功效交接审阅</w:t>
      </w:r>
    </w:p>
    <w:p>
      <w:r>
        <w:t>审阅日期 2026-09-29    任务 U12-04</w:t>
      </w:r>
    </w:p>
    <w:p>
      <w:pPr>
        <w:pStyle w:val="Heading1"/>
      </w:pPr>
      <w:r>
        <w:t>一 当前结论</w:t>
      </w:r>
    </w:p>
    <w:p>
      <w:r>
        <w:t>U12-04保留原限定候选DONE。实际工具与12原文件已归入Agent层，活动SAP及功效实现纠错、六个消费者修复；新修订不继承原签名，正式缺失分析、样本量和研究冻结仍未完成。</w:t>
      </w:r>
    </w:p>
    <w:p>
      <w:r>
        <w:t>固定任务4人日，依赖U12-01/F-02；原领取Codex(Grip)/小彬，历史分支codex/u12-04-panas-sap。2026-09-21原限定设计与合成候选签收，不是正式SAP或研究数值冻结。</w:t>
      </w:r>
    </w:p>
    <w:p>
      <w:pPr>
        <w:pStyle w:val="Heading1"/>
      </w:pPr>
      <w:r>
        <w:t>二 目标与完成标准</w:t>
      </w:r>
    </w:p>
    <w:p>
      <w:r>
        <w:t>AC1冻结输入、差值方向及参数来源可追溯；AC2双侧主比较、等效默认关，正反零及缺失情景覆盖，N/界值待真实冻结；AC3原提交、独立及真人签收保留，不代签外部条件。</w:t>
      </w:r>
    </w:p>
    <w:p>
      <w:r>
        <w:t>四段为核对主结果、划分分析与解释、模拟合成网格、复测后交下游。正式MI、完整四模块资格、PF联合功效和真实样本量不由这份合成网格替代。</w:t>
      </w:r>
    </w:p>
    <w:p>
      <w:pPr>
        <w:pStyle w:val="Heading1"/>
      </w:pPr>
      <w:r>
        <w:t>三 实际交付</w:t>
      </w:r>
    </w:p>
    <w:p>
      <w:r>
        <w:t>固定TASK及五目录，12原文件实际归档，原独立记录保留签署索引位置且完整候选有同字节副本。活动合同保留原字节，SAP/功效规格与执行实现订正。</w:t>
      </w:r>
    </w:p>
    <w:p>
      <w:r>
        <w:t>活动20单元总N×残差效应网格，各1000次、两分析情景；原网格/报告不覆盖。A-02/A-03/A-04/A-05/G-03/F-02实际入口修复，A-02/A-05结构化总结联动更新。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阶段一基线调整PANAS负性情绪为主结果，native-minus-abstract；HC3双侧0.05。负值支持原生更低、正值支持抽象更低；不显著不等于反向优势或等效，功能或操纵失败不隐藏有效主比较。</w:t>
      </w:r>
    </w:p>
    <w:p>
      <w:r>
        <w:t>0.075界、100次插补和0.9功效目标均候选。48是Level C总人数锚点，24是每臂序列数；已分配块不按完成补位。15项正式冻结尚缺，不从网格自动选定正式N。</w:t>
      </w:r>
    </w:p>
    <w:p>
      <w:pPr>
        <w:pStyle w:val="Heading1"/>
      </w:pPr>
      <w:r>
        <w:t>五 验证与结果</w:t>
      </w:r>
    </w:p>
    <w:p>
      <w:r>
        <w:t>138专项33.64秒通过，覆盖原18合同、13原件字节、8核心指纹及既存README漂移、7原来源、签署绑定、拟合自由度、零效应CLI、拒绝覆盖与跨包消费。</w:t>
      </w:r>
    </w:p>
    <w:p>
      <w:r>
        <w:t>新20单元网格确定性复算通过；F-02入口、协议/治理、71注册及5分发/61快照通过，根635项48.72秒通过。没有真实数据分析、正式功效校准、Unity/TD或新真人签署。</w:t>
      </w:r>
    </w:p>
    <w:p>
      <w:pPr>
        <w:pStyle w:val="Heading1"/>
      </w:pPr>
      <w:r>
        <w:t>六 偏离与修复闭环</w:t>
      </w:r>
    </w:p>
    <w:p>
      <w:r>
        <w:t>原SAP把后测可用者写成四模块完成者、把48写成每臂数，活动版本已订正。模拟的d按残差SD，0.5是基线回归系数，前测代填不保证保守且不是MI；活动规格如实标注。</w:t>
      </w:r>
    </w:p>
    <w:p>
      <w:r>
        <w:t>工具改按每次实际拟合n减4取t自由度，SciPy必需；零效应覆盖生效，奇数N不舍人，新目录排他写。首轮4项迁移失败已修实际导航和A-05目录区分，保存失败摘要；原README指纹漂移不伪装为原签收已修。</w:t>
      </w:r>
    </w:p>
    <w:p>
      <w:pPr>
        <w:pStyle w:val="Heading1"/>
      </w:pPr>
      <w:r>
        <w:t>七 目录与文件整理</w:t>
      </w:r>
    </w:p>
    <w:p>
      <w:r>
        <w:t>活动合同/修订SAP/功效规格在outputs，工具在execution，新复测在evidence，原件在archive/signed-candidate。原acceptance及真人/独立记录不改，新生成器只写独立当前清单。</w:t>
      </w:r>
    </w:p>
    <w:p>
      <w:r>
        <w:t>先修Agent与消费者，再生成U12-04及A-02/A-05 Word和串联审阅；根目录19/19项已迁入human/agent，当前读取和运行入口已验证，业务签收不变。归档脚本不继续运行。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A-02负责真实分析集、MI合并/MNAR及敏感性；A-03负责真实计分和盲态校准，U12-11冻结效应/界值/N及15项条件，G-03落实研究准入，A-05正式分析主比较。</w:t>
      </w:r>
    </w:p>
    <w:p>
      <w:r>
        <w:t>F-02消费未改的合同，A-04仅复用HC3数学辅助而不继承阶段一SAP；U12-07/U12-10按独立PANAS、功能与操纵分类。原在研输入不刷新，合成两个随机层不代替24序列分配或真实数据。</w:t>
      </w:r>
    </w:p>
    <w:p>
      <w:pPr>
        <w:pStyle w:val="Heading1"/>
      </w:pPr>
      <w:r>
        <w:t>九 审阅与责任签收</w:t>
      </w:r>
    </w:p>
    <w:p>
      <w:r>
        <w:t>原记录的Codex-Agent独立PASS和傅钧烨签收仍针对d701候选。本轮由作者Agent修订并复测，未产生新的独立Agent审查或真人签名，不把原签名转给活动工具。</w:t>
      </w:r>
    </w:p>
    <w:p>
      <w:r>
        <w:t>历史审核人 傅钧烨    日期 2026-09-21</w:t>
      </w:r>
    </w:p>
    <w:p>
      <w:r>
        <w:t>历史审核提交 d701a4054a4a36030d37335efa65d67a93ed35c3</w:t>
      </w:r>
    </w:p>
    <w:p>
      <w:r>
        <w:t>原Codex-Agent记录独立PASS，傅钧烨签收设计与合成候选；本轮仅作者修订和软件复测，无新独立复审或真人签收。原签署对象不改，活动修订另记。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原SAP/合同/功效代码、网格及参数表，机器acceptance和真人/独立记录，研究v1.2与当前A-02/A-03/F-02/G-03/A-05交接。README漂移是本轮前已存在的清单差异，未推定真实研究完成。</w:t>
      </w:r>
    </w:p>
    <w:p>
      <w:hyperlink r:id="rId10">
        <w:r>
          <w:t>当前统计交接</w:t>
        </w:r>
      </w:hyperlink>
    </w:p>
    <w:p>
      <w:hyperlink r:id="rId11">
        <w:r>
          <w:t>活动SAP</w:t>
        </w:r>
      </w:hyperlink>
    </w:p>
    <w:p>
      <w:hyperlink r:id="rId12">
        <w:r>
          <w:t>当前合成网格</w:t>
        </w:r>
      </w:hyperlink>
    </w:p>
    <w:p>
      <w:hyperlink r:id="rId13">
        <w:r>
          <w:t>本轮复测</w:t>
        </w:r>
      </w:hyperlink>
    </w:p>
    <w:p>
      <w:hyperlink r:id="rId14">
        <w:r>
          <w:t>实际修订与消费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4/outputs/current-statistics.md" TargetMode="External"/><Relationship Id="rId11" Type="http://schemas.openxmlformats.org/officeDocument/2006/relationships/hyperlink" Target="file:///D:/Agent/srp/agent/tasks/U12-04/outputs/sap.md" TargetMode="External"/><Relationship Id="rId12" Type="http://schemas.openxmlformats.org/officeDocument/2006/relationships/hyperlink" Target="file:///D:/Agent/srp/agent/tasks/U12-04/outputs/power/power_report.md" TargetMode="External"/><Relationship Id="rId13" Type="http://schemas.openxmlformats.org/officeDocument/2006/relationships/hyperlink" Target="file:///D:/Agent/srp/agent/tasks/U12-04/evidence/verification.json" TargetMode="External"/><Relationship Id="rId14" Type="http://schemas.openxmlformats.org/officeDocument/2006/relationships/hyperlink" Target="file:///D:/Agent/srp/agent/tasks/U12-04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