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07 中立方法与结果解释规格审阅</w:t>
      </w:r>
    </w:p>
    <w:p>
      <w:r>
        <w:t>审阅日期 2026-09-29    任务 U12-07</w:t>
      </w:r>
    </w:p>
    <w:p>
      <w:pPr>
        <w:pStyle w:val="Heading1"/>
      </w:pPr>
      <w:r>
        <w:t>一 当前结论</w:t>
      </w:r>
    </w:p>
    <w:p>
      <w:r>
        <w:t>U12-07历史三件套保持DONE及原签收范围。当前方法、11空表和两向结果解释规则已按PANAS主比较修订，旧原件实际归档、W-01/W-02真实消费者同步；新规格非论文正文，新复核和真实签收仍待完成。</w:t>
      </w:r>
    </w:p>
    <w:p>
      <w:r>
        <w:t>固定任务3人日，依赖U12-01|W-01；现有领取人Codex(Grip)/小彬、审核人傅钧烨保留。历史候选28008f5和签署b343839不改，真实数据及主稿未交付。</w:t>
      </w:r>
    </w:p>
    <w:p>
      <w:pPr>
        <w:pStyle w:val="Heading1"/>
      </w:pPr>
      <w:r>
        <w:t>二 目标与完成标准</w:t>
      </w:r>
    </w:p>
    <w:p>
      <w:r>
        <w:t>AC1原输入/版本/来源可核验；AC2方法规格、空表和解释规则不填造数据，不等未开展阶段三，两向结果均有准确边界；AC3新候选、独立复核、真人签收分别绑定。</w:t>
      </w:r>
    </w:p>
    <w:p>
      <w:r>
        <w:t>过程为原件核对与归档、现行研究与测量对齐、消费者和复测、Agent事实到单包及串联Word；不将写作候选当正式研究冻结。</w:t>
      </w:r>
    </w:p>
    <w:p>
      <w:pPr>
        <w:pStyle w:val="Heading1"/>
      </w:pPr>
      <w:r>
        <w:t>三 实际交付</w:t>
      </w:r>
    </w:p>
    <w:p>
      <w:r>
        <w:t>TASK和五目录，当前方法规格、11表字段、19类报告决策及结构化状态；六原文实际归档，独立报告保留索引并复制，四候选输入实际归档。</w:t>
      </w:r>
    </w:p>
    <w:p>
      <w:r>
        <w:t>W-01/W-02当前入口、W-02来源/测试及A-05真实来源已修正，关联Word同步生成。交付是作者决策规格，不是AI第一稿，不供直接复制投稿。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RQ1改以基线校正PANAS为主，机会PF、理解负担和设计知识分别解释；原生不等于隐藏，绑定天气/结构不能拆独立因果效果。</w:t>
      </w:r>
    </w:p>
    <w:p>
      <w:r>
        <w:t>教学在PANAS前测后，180秒教学与800秒核心均区分候选/实际证据。理解题采用U12-02步骤实例及锁定算法，不复用旧粗相位0–8计分。</w:t>
      </w:r>
    </w:p>
    <w:p>
      <w:pPr>
        <w:pStyle w:val="Heading1"/>
      </w:pPr>
      <w:r>
        <w:t>五 验证与结果</w:t>
      </w:r>
    </w:p>
    <w:p>
      <w:r>
        <w:t>最终95项专项14.00秒、根635项47.64秒通过，协议/治理/71注册及5分发61快照通过。包含A-05来源与既有软件复测，检查搬迁字节、六输入/四输出历史身份、签收原文、11表及双向/缺失/护栏/等效规则、冻结对象和实际消费者；两历史输出政策描述差异单独记录。</w:t>
      </w:r>
    </w:p>
    <w:p>
      <w:r>
        <w:t>本轮无真实分析、主稿、Unity/TD运行、新独立复核或真人修订签收；软件结构通过只支持当前规范化。</w:t>
      </w:r>
    </w:p>
    <w:p>
      <w:pPr>
        <w:pStyle w:val="Heading1"/>
      </w:pPr>
      <w:r>
        <w:t>六 偏离与修复闭环</w:t>
      </w:r>
    </w:p>
    <w:p>
      <w:r>
        <w:t>旧RQ功能优先、强制门序、粗相位计分和无PANAS空表已从当前消费者隔离，原签署文字不改。情绪CI负/正/跨零分别解释，功能或SCCI失败不抹掉有效主要比较；确认性等效默认关闭。</w:t>
      </w:r>
    </w:p>
    <w:p>
      <w:r>
        <w:t>首轮2失败/83通过、第二轮1失败/84通过：修二进制比较工具后，确认原方法稿/来源表无末尾LF，历史哈希未依声明补LF。六输入依声明、四输出依实际算法吻合，Git正文签收后未变；保留原件、两轮失败和精确政策差异，不假称声明全部吻合。</w:t>
      </w:r>
    </w:p>
    <w:p>
      <w:pPr>
        <w:pStyle w:val="Heading1"/>
      </w:pPr>
      <w:r>
        <w:t>七 目录与文件整理</w:t>
      </w:r>
    </w:p>
    <w:p>
      <w:r>
        <w:t>当前规格在outputs，检查工具在execution，真实日志在evidence，索引在inputs，旧稿及候选在archive。原独立报告索引和真实签署保留，历史sources字节/规范化表述差异注明。</w:t>
      </w:r>
    </w:p>
    <w:p>
      <w:r>
        <w:t>在研/复核/可领取冻结输入不刷新，业务状态及注册不变；根共享工程与治理目录整体迁移仍未完成。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U12-02交真实步骤测量，U12-03教学与时序，U12-04/A-03统计与冻结，U/V/I交实际呈现与完整链。W-01真实全文、A-05同版数字图表和A-06实际范围仍未齐。</w:t>
      </w:r>
    </w:p>
    <w:p>
      <w:r>
        <w:t>W-02消费当前三个规格，U12-10消费结果分类规则；真实作者写主稿，W-03核生成式工具政策与真实投稿授权。实际部分扩展仍须披露，不等未开展阶段三。</w:t>
      </w:r>
    </w:p>
    <w:p>
      <w:pPr>
        <w:pStyle w:val="Heading1"/>
      </w:pPr>
      <w:r>
        <w:t>九 审阅与责任签收</w:t>
      </w:r>
    </w:p>
    <w:p>
      <w:r>
        <w:t>原独立Agent和傅钧烨签收仅原候选；当前规格新复核、新真人签收尚未完成。正式N/界值、研究冻结、数据权限和真实结果不能由写作模板代填，DONE不扩大。</w:t>
      </w:r>
    </w:p>
    <w:p>
      <w:r>
        <w:t>历史审核人 傅钧烨    日期 2026-09-11</w:t>
      </w:r>
    </w:p>
    <w:p>
      <w:r>
        <w:t>历史审核提交 28008f5a4c9963a32488ef32b61dc6ad055562de</w:t>
      </w:r>
    </w:p>
    <w:p>
      <w:r>
        <w:t>真实第二人PASS仅原三件套、来源绑定和阶段三边界；本轮修订不继承原签名，作者软件检查不冒称独立复核。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业务状态DONE，原签收与未交付项不变；后续按注册表和实际依赖推进。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注册表、研究v1.2、原签收/原稿/四候选输入、当前步骤测量/教学/统计、A-05/A-06、W-01/W-02/W-03交接。没有新增文献搜索或声称已取得真实研究/投稿结果。</w:t>
      </w:r>
    </w:p>
    <w:p>
      <w:hyperlink r:id="rId10">
        <w:r>
          <w:t>当前方法规格</w:t>
        </w:r>
      </w:hyperlink>
    </w:p>
    <w:p>
      <w:hyperlink r:id="rId11">
        <w:r>
          <w:t>11表字段规格</w:t>
        </w:r>
      </w:hyperlink>
    </w:p>
    <w:p>
      <w:hyperlink r:id="rId12">
        <w:r>
          <w:t>正反结果解释规则</w:t>
        </w:r>
      </w:hyperlink>
    </w:p>
    <w:p>
      <w:hyperlink r:id="rId13">
        <w:r>
          <w:t>真实复测日志</w:t>
        </w:r>
      </w:hyperlink>
    </w:p>
    <w:p>
      <w:hyperlink r:id="rId14">
        <w:r>
          <w:t>历史保留与消费者影响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07/outputs/current-method.md" TargetMode="External"/><Relationship Id="rId11" Type="http://schemas.openxmlformats.org/officeDocument/2006/relationships/hyperlink" Target="file:///D:/Agent/srp/agent/tasks/U12-07/outputs/table-spec.md" TargetMode="External"/><Relationship Id="rId12" Type="http://schemas.openxmlformats.org/officeDocument/2006/relationships/hyperlink" Target="file:///D:/Agent/srp/agent/tasks/U12-07/outputs/reporting-rules.md" TargetMode="External"/><Relationship Id="rId13" Type="http://schemas.openxmlformats.org/officeDocument/2006/relationships/hyperlink" Target="file:///D:/Agent/srp/agent/tasks/U12-07/evidence/verification.json" TargetMode="External"/><Relationship Id="rId14" Type="http://schemas.openxmlformats.org/officeDocument/2006/relationships/hyperlink" Target="file:///D:/Agent/srp/agent/tasks/U12-07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