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U12 09 升级覆盖与合同一致性审阅</w:t>
      </w:r>
    </w:p>
    <w:p>
      <w:r>
        <w:t>审阅日期 2026-09-29    任务 U12-09</w:t>
      </w:r>
    </w:p>
    <w:p>
      <w:pPr>
        <w:pStyle w:val="Heading1"/>
      </w:pPr>
      <w:r>
        <w:t>一 当前结论</w:t>
      </w:r>
    </w:p>
    <w:p>
      <w:r>
        <w:t>U12-09仍WAIT_DEP、未领取、未签署。四旧候选实际归档，已形成15消费者矩阵、24 DONE影响索引和六条旧字节的有限来源比对；静态路径均存在，但正式研究接线、真实证据与新签收仍缺，不能认定业务一致性验收完成。</w:t>
      </w:r>
    </w:p>
    <w:p>
      <w:r>
        <w:t>依赖U12-02/U12-03/U12-04/U12-06，固定任务2人日。上游限定候选DONE、教学IN_REVIEW和正式接线IN_PROGRESS分别保留；本轮不接管真实领取人或刷新冻结输入。</w:t>
      </w:r>
    </w:p>
    <w:p>
      <w:pPr>
        <w:pStyle w:val="Heading1"/>
      </w:pPr>
      <w:r>
        <w:t>二 目标与完成标准</w:t>
      </w:r>
    </w:p>
    <w:p>
      <w:r>
        <w:t>AC1冻结输入、候选与变更覆盖明确；AC2主张/计分/步骤真值及实际消费一致，旧DONE仅旧对象，正式空字段不通过；AC3复测、独立复核与真实第二人绑定，不代签外部证据。</w:t>
      </w:r>
    </w:p>
    <w:p>
      <w:r>
        <w:t>过程为读取当前来源、逐消费者复核、影响交接和候选签收。当前只交静态及现有软件覆盖，真实运行一致性尚未验收。</w:t>
      </w:r>
    </w:p>
    <w:p>
      <w:pPr>
        <w:pStyle w:val="Heading1"/>
      </w:pPr>
      <w:r>
        <w:t>三 实际交付</w:t>
      </w:r>
    </w:p>
    <w:p>
      <w:r>
        <w:t>固定TASK/五目录、只读索引工具、15行消费者矩阵、24项DONE影响表、六引用旧字节观测、版本与覆盖交接、源索引及复测入口。四候选原文实际迁入archive，三原件字节及原输入ID保持。</w:t>
      </w:r>
    </w:p>
    <w:p>
      <w:r>
        <w:t>旧未注册入口改为当前WAIT_DEP导航；U12-06接当前一致性说明。消费者、原binding/manifest、签署、研究合同、业务代码及成员分发不改。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研究1.2、运行Schema2.2、传输1.1分别约束研究、步骤身份和传输，数字不同不是冲突。PANAS主比较、PF独立护栏、SCCI操纵检查的范围不能被旧有序门覆盖。</w:t>
      </w:r>
    </w:p>
    <w:p>
      <w:r>
        <w:t>四治理实现、两限定候选、七待运行、教学待范围和外部待证据共15项；其中六运行归傅钧烨领取的U12-06。文件存在与旧合成formal适配器prepare不等于新研究门实际接线。</w:t>
      </w:r>
    </w:p>
    <w:p>
      <w:pPr>
        <w:pStyle w:val="Heading1"/>
      </w:pPr>
      <w:r>
        <w:t>五 验证与结果</w:t>
      </w:r>
    </w:p>
    <w:p>
      <w:r>
        <w:t>149项专项8.70秒通过，覆盖原件字节、当前登记、矩阵可重建、旧DONE索引不推新签收、五空字段、版本边界、原binding及测量/教学/统计/运行上游软件回归。协议/治理/71注册和5分发61快照通过。</w:t>
      </w:r>
    </w:p>
    <w:p>
      <w:r>
        <w:t>根回归的实际结果见verification.json与regression.txt。现行治理拒绝未批准正式开关与N填充，但这些测试不证明运行入口已消费研究冻结，formal_gate_proved保持false。</w:t>
      </w:r>
    </w:p>
    <w:p>
      <w:pPr>
        <w:pStyle w:val="Heading1"/>
      </w:pPr>
      <w:r>
        <w:t>六 偏离与修复闭环</w:t>
      </w:r>
    </w:p>
    <w:p>
      <w:r>
        <w:t>六条UNRESOLVED_WORKTREE_BYTES对应四源文件，历史Git身份吻合；在Git、LF/CRLF/BOM、可访问基线及当前文件中，旧声明字节均未匹配。明确检查范围，不声明全历史不存在，不改签署原声明。</w:t>
      </w:r>
    </w:p>
    <w:p>
      <w:r>
        <w:t>初始查找的两基线脚本与误写的材料manifest不存在，已用实际目录和现有材料复测入口纠正；没有将缺失路径伪造为已找到。旧未注册说明过期，当前导航已订正。</w:t>
      </w:r>
    </w:p>
    <w:p>
      <w:pPr>
        <w:pStyle w:val="Heading1"/>
      </w:pPr>
      <w:r>
        <w:t>七 目录与文件整理</w:t>
      </w:r>
    </w:p>
    <w:p>
      <w:r>
        <w:t>inputs为来源、execution为只读索引和复测、evidence为日志与影响、outputs为当前矩阵/事实和Word源，archive为四原候选。没有真实旧实现工具或验收报告可归档，不制造清理。</w:t>
      </w:r>
    </w:p>
    <w:p>
      <w:r>
        <w:t>研究原件保持历史字节，共享治理和工程已迁入Agent层且当前运行路径已验证。本包业务状态不变；根目录迁移已落实，研究接线仍由对应任务完成。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U12-02交步骤材料和真实标注缺口，U12-03交真实片段及教学冻结，U12-04交当前SAP和正式功效/缺失缺口，U12-06交六实际研究入口。历史签收只覆盖相应候选，正式教学预算/效应阈值/关键错误/N/MNAR仍空。</w:t>
      </w:r>
    </w:p>
    <w:p>
      <w:r>
        <w:t>当前覆盖交U12-06接线、U12-11数值、G-03冻结、I-01真实链和Z-01候选交付；旧字节恢复仍需真实匹配原件或有据范围裁定。作者复测不代独立复核/第二人，静态矩阵不解除研究设计或投稿授权。</w:t>
      </w:r>
    </w:p>
    <w:p>
      <w:pPr>
        <w:pStyle w:val="Heading1"/>
      </w:pPr>
      <w:r>
        <w:t>九 审阅与责任签收</w:t>
      </w:r>
    </w:p>
    <w:p>
      <w:r>
        <w:t>本包未领取、未指定独立复核者、未签署；U12-06傅钧烨领取保留。当前24 DONE表只索引已有审阅与缺口，不为缺真实签收的任务补造签名，不把旧签名移植到本轮。</w:t>
      </w:r>
    </w:p>
    <w:p>
      <w:r>
        <w:t>历史审核人 未指定    日期 未签署</w:t>
      </w:r>
    </w:p>
    <w:p>
      <w:r>
        <w:t>本包无真实实现验收或第二人签收；作者Agent整理和复测，不写成独立Agent或真人验收。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业务状态WAIT_DEP，原签收与未交付项不变；后续按注册表和实际依赖推进。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活动注册、15消费者、研究1.2、原历史binding及Git对象、实际可访问基线、24已整理DONE总结、五上游当前事实及专项，正式入口观测和真实链/冻结/交付交接。</w:t>
      </w:r>
    </w:p>
    <w:p>
      <w:hyperlink r:id="rId10">
        <w:r>
          <w:t>当前一致性交接</w:t>
        </w:r>
      </w:hyperlink>
    </w:p>
    <w:p>
      <w:hyperlink r:id="rId11">
        <w:r>
          <w:t>15消费者矩阵</w:t>
        </w:r>
      </w:hyperlink>
    </w:p>
    <w:p>
      <w:hyperlink r:id="rId12">
        <w:r>
          <w:t>24 DONE影响索引</w:t>
        </w:r>
      </w:hyperlink>
    </w:p>
    <w:p>
      <w:hyperlink r:id="rId13">
        <w:r>
          <w:t>旧字节实际观测</w:t>
        </w:r>
      </w:hyperlink>
    </w:p>
    <w:p>
      <w:hyperlink r:id="rId14">
        <w:r>
          <w:t>本轮软件验证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U12-09/outputs/current-consistency.md" TargetMode="External"/><Relationship Id="rId11" Type="http://schemas.openxmlformats.org/officeDocument/2006/relationships/hyperlink" Target="file:///D:/Agent/srp/agent/tasks/U12-09/outputs/consumer-matrix.csv" TargetMode="External"/><Relationship Id="rId12" Type="http://schemas.openxmlformats.org/officeDocument/2006/relationships/hyperlink" Target="file:///D:/Agent/srp/agent/tasks/U12-09/outputs/old-done-impact.csv" TargetMode="External"/><Relationship Id="rId13" Type="http://schemas.openxmlformats.org/officeDocument/2006/relationships/hyperlink" Target="file:///D:/Agent/srp/agent/tasks/U12-09/outputs/legacy-byte-observations.json" TargetMode="External"/><Relationship Id="rId14" Type="http://schemas.openxmlformats.org/officeDocument/2006/relationships/hyperlink" Target="file:///D:/Agent/srp/agent/tasks/U12-09/evidence/verification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