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U12 10 阶段一结果分类与主张审阅</w:t>
      </w:r>
    </w:p>
    <w:p>
      <w:r>
        <w:t>审阅日期 2026-09-29    任务 U12-10</w:t>
      </w:r>
    </w:p>
    <w:p>
      <w:pPr>
        <w:pStyle w:val="Heading1"/>
      </w:pPr>
      <w:r>
        <w:t>一 当前结论</w:t>
      </w:r>
    </w:p>
    <w:p>
      <w:r>
        <w:t>U12-10仍WAIT_DEP、未领取未签署。四旧候选实际归档，复用外部分类算法并修Python3.14帮助文字启动报错；15合成案例和主张规则已交付，但A-05真实结果、正式阈值、独立复核及第二人签收仍缺，不认定正式分类完成。</w:t>
      </w:r>
    </w:p>
    <w:p>
      <w:r>
        <w:t>固定任务2人日，依赖A-05；活动注册已存在，旧未注册候选入口订正。当前正式研究数字与原签署范围不改，不接管成员在研输入。</w:t>
      </w:r>
    </w:p>
    <w:p>
      <w:pPr>
        <w:pStyle w:val="Heading1"/>
      </w:pPr>
      <w:r>
        <w:t>二 目标与完成标准</w:t>
      </w:r>
    </w:p>
    <w:p>
      <w:r>
        <w:t>消费同版锁库、正式SAP和A-05结果，检查beta方向、95%CI尺度、功能/效度及允许主张。AC1输入与候选明确；AC2正反优势、小差异、不确定与等效不混淆；AC3真实独立复算和第二人绑定候选。</w:t>
      </w:r>
    </w:p>
    <w:p>
      <w:r>
        <w:t>过程为输入核对、分轴分类、逐项主张和下游交接。合成软件通过不能替代真实阶段一结果复核。</w:t>
      </w:r>
    </w:p>
    <w:p>
      <w:pPr>
        <w:pStyle w:val="Heading1"/>
      </w:pPr>
      <w:r>
        <w:t>三 实际交付</w:t>
      </w:r>
    </w:p>
    <w:p>
      <w:r>
        <w:t>固定TASK及五目录、候选classifier、15合成案例和重建报告、主张规则、当前交接、实际CLI及边界复测。四原候选归档，三文件字节与原输入ID保持；外部原工具副本归档且封包来源不改。</w:t>
      </w:r>
    </w:p>
    <w:p>
      <w:r>
        <w:t>A-05当前索引从分类器未交付订正为候选具备、正式未交付，Markdown接本包；空分析报告仍无beta/CI/p/n，不生成论文第一稿或真实结论。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native-minus-abstract负值有利原生，正值有利抽象；必须是基线调整PANAS负性情绪而非组内变化、PF或标准化量。候选工具接人工数值，不拟合模型、不验证冻结或批准。</w:t>
      </w:r>
    </w:p>
    <w:p>
      <w:r>
        <w:t>95%CI方向和实际尺度分开，触0不建立方向、触±delta不算越界；小而可辨与界内标签可并存。等效始终关闭，合成delta=1不进入正式研究。</w:t>
      </w:r>
    </w:p>
    <w:p>
      <w:pPr>
        <w:pStyle w:val="Heading1"/>
      </w:pPr>
      <w:r>
        <w:t>五 验证与结果</w:t>
      </w:r>
    </w:p>
    <w:p>
      <w:r>
        <w:t>92项专项8.47秒通过，覆盖15正反/小差异/触边案例、20非法输入、护栏/效度/敏感性、原件身份、真实CLI/help、合成重建与A-05/A-06/U12-07交接。实际根回归与治理结果见verification.json。</w:t>
      </w:r>
    </w:p>
    <w:p>
      <w:r>
        <w:t>PF或SCCI失败不隐去有效情绪比较；delivery效度和敏感性标签独立保留，不自动部署。无法估计时记录原因，不用合成not_assessable占位数值替代真实缺失。</w:t>
      </w:r>
    </w:p>
    <w:p>
      <w:pPr>
        <w:pStyle w:val="Heading1"/>
      </w:pPr>
      <w:r>
        <w:t>六 偏离与修复闭环</w:t>
      </w:r>
    </w:p>
    <w:p>
      <w:r>
        <w:t>首轮1 failed/91 passed，外部工具在Python3.14 argparse校验帮助文字时遇裸百分号，报badly formed help string。只改两处帮助文字并补实际help/输入CLI复测，原工具和失败日志保留。</w:t>
      </w:r>
    </w:p>
    <w:p>
      <w:r>
        <w:t>Evidence/_number/classify的语法树与原工具相同，未更改分类算法。正式锁库、SAP、关注差异、真实结果及签收仍缺，不能用候选软件解除研究阻断。</w:t>
      </w:r>
    </w:p>
    <w:p>
      <w:pPr>
        <w:pStyle w:val="Heading1"/>
      </w:pPr>
      <w:r>
        <w:t>七 目录与文件整理</w:t>
      </w:r>
    </w:p>
    <w:p>
      <w:r>
        <w:t>inputs存实际来源及合成案例，execution存候选工具与测试，evidence存初始失败和最终日志，outputs存交接/规则/合成报告和Word源，archive存四候选与原工具。</w:t>
      </w:r>
    </w:p>
    <w:p>
      <w:r>
        <w:t>原外部审计包、历史签名、研究数字和冻结分发保持；旧候选位置只留导航。共享模块与旧业务目录仍待整体迁入双层，不将逐包整理写为根迁移完成。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A-05交真实锁库/SAP关联和完整主结果，U12-11/G-03交事前阈值和冻结，U12-07交中立解释规格。当前空报告及候选分类工具各自标注，不靠软件标签证明来源有效。</w:t>
      </w:r>
    </w:p>
    <w:p>
      <w:r>
        <w:t>真实分轴分类与允许主张交A-06关闭范围、W-02/W-03写作复现；情绪收益、功能代价和设计边界并列，正反结果均可报告。可选阶段三有独立估计目标，不能混入阶段一提示比较。</w:t>
      </w:r>
    </w:p>
    <w:p>
      <w:pPr>
        <w:pStyle w:val="Heading1"/>
      </w:pPr>
      <w:r>
        <w:t>九 审阅与责任签收</w:t>
      </w:r>
    </w:p>
    <w:p>
      <w:r>
        <w:t>真实结果复算人、独立复核者、研究负责人及第二人尚未指定，候选没有新签署。作者Agent复测只记录软件行为，不写成独立Agent或真人PASS；业务WAIT_DEP保持。</w:t>
      </w:r>
    </w:p>
    <w:p>
      <w:r>
        <w:t>历史审核人 未指定    日期 未签署</w:t>
      </w:r>
    </w:p>
    <w:p>
      <w:r>
        <w:t>本轮为作者Agent整理及软件复测；没有本包独立复核或真人验收，不代填结论。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活动任务注册、研究1.2、原候选manifest、外部原分类器及统计合同、A-05空报告/实际交接、U12-04统计范围、U12-07解释规则、A-06/W-02/G-03职责和本轮复测。</w:t>
      </w:r>
    </w:p>
    <w:p>
      <w:hyperlink r:id="rId10">
        <w:r>
          <w:t>当前结果分类交接</w:t>
        </w:r>
      </w:hyperlink>
    </w:p>
    <w:p>
      <w:hyperlink r:id="rId11">
        <w:r>
          <w:t>允许主张与限制</w:t>
        </w:r>
      </w:hyperlink>
    </w:p>
    <w:p>
      <w:hyperlink r:id="rId12">
        <w:r>
          <w:t>15合成分类案例</w:t>
        </w:r>
      </w:hyperlink>
    </w:p>
    <w:p>
      <w:hyperlink r:id="rId13">
        <w:r>
          <w:t>本轮软件验证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12-10/outputs/current-classification.md" TargetMode="External"/><Relationship Id="rId11" Type="http://schemas.openxmlformats.org/officeDocument/2006/relationships/hyperlink" Target="file:///D:/Agent/srp/agent/tasks/U12-10/outputs/claim-rules.md" TargetMode="External"/><Relationship Id="rId12" Type="http://schemas.openxmlformats.org/officeDocument/2006/relationships/hyperlink" Target="file:///D:/Agent/srp/agent/tasks/U12-10/outputs/synthetic-classification.json" TargetMode="External"/><Relationship Id="rId13" Type="http://schemas.openxmlformats.org/officeDocument/2006/relationships/hyperlink" Target="file:///D:/Agent/srp/agent/tasks/U12-10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