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12 成果部署选择与公开交接审阅</w:t>
      </w:r>
    </w:p>
    <w:p>
      <w:r>
        <w:t>审阅日期 2026-09-29    任务 U12-12</w:t>
      </w:r>
    </w:p>
    <w:p>
      <w:pPr>
        <w:pStyle w:val="Heading1"/>
      </w:pPr>
      <w:r>
        <w:t>一 当前结论</w:t>
      </w:r>
    </w:p>
    <w:p>
      <w:r>
        <w:t>U12-12仍WAIT_DEP_EXTERNAL、未领取未签署。四原候选实际归档，方案选择与逐对象公开工作表、现状核查和W-04入口已对齐；真实结果、范围关闭、作者及权利人批准和最终成品尚缺。本轮没有选择获胜方案，也没有批准公开。</w:t>
      </w:r>
    </w:p>
    <w:p>
      <w:r>
        <w:t>固定任务2人日，依赖W-03与A-06。两上游实际交付未完成，Z-01匹配制品和干净重建未交付，W-04八对象未交付；业务状态、人员及已签署范围保持。</w:t>
      </w:r>
    </w:p>
    <w:p>
      <w:pPr>
        <w:pStyle w:val="Heading1"/>
      </w:pPr>
      <w:r>
        <w:t>二 目标与完成标准</w:t>
      </w:r>
    </w:p>
    <w:p>
      <w:r>
        <w:t>AC1同版研究结果、真实范围、制品及权属来源可追溯；AC2完整审阅收益、功能代价和适用边界，由真实作者、机构与权利人确认；AC3实际决定和公开清单经独立复核及第二人签收后交W-04。</w:t>
      </w:r>
    </w:p>
    <w:p>
      <w:r>
        <w:t>执行顺序为收齐真实证据、裁定成果方向及逐对象权限、移交打包和接收演练。当前工作表并不满足真实决定验收。</w:t>
      </w:r>
    </w:p>
    <w:p>
      <w:pPr>
        <w:pStyle w:val="Heading1"/>
      </w:pPr>
      <w:r>
        <w:t>三 实际交付</w:t>
      </w:r>
    </w:p>
    <w:p>
      <w:r>
        <w:t>TASK及五目录、来源清单、只读现状工具、三方案八维审阅表和十二对象公开范围工作表、专项测试与验证入口。四原候选完整归档，原输入身份与字节保持。</w:t>
      </w:r>
    </w:p>
    <w:p>
      <w:r>
        <w:t>W-04当前消费者链接更新为本包活动入口；八项成品仍使用其既有索引，不新增批准台账或虚构制品哈希。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成果方向在scene_native、abstract_pacer和retain_research_prototype之间裁定，无默认胜者；同版真实情绪收益、功能、负担、效度和维护条件分别审阅。统计方向或合成案例不能自动选择产品。</w:t>
      </w:r>
    </w:p>
    <w:p>
      <w:r>
        <w:t>产品选择与对象公开是两类决定。研究关闭、Git推送、投稿、录用、部署及新成员接收各自记录事实；历史公开顺序不作当前授权。</w:t>
      </w:r>
    </w:p>
    <w:p>
      <w:pPr>
        <w:pStyle w:val="Heading1"/>
      </w:pPr>
      <w:r>
        <w:t>五 验证与结果</w:t>
      </w:r>
    </w:p>
    <w:p>
      <w:r>
        <w:t>77项专项通过，覆盖原件身份、实际注册状态、只读事实同源、三未选选项、八未交付对象、十五合成案例不自动部署、十二对象待决定和实际导航。完整软件及治理结果见verification.json。</w:t>
      </w:r>
    </w:p>
    <w:p>
      <w:r>
        <w:t>本轮不连接真实设备、Unity或TD，不取得实际许可，不产生论文结果。工具、静态检查或Python回归通过均不批准公开或部署。</w:t>
      </w:r>
    </w:p>
    <w:p>
      <w:pPr>
        <w:pStyle w:val="Heading1"/>
      </w:pPr>
      <w:r>
        <w:t>六 偏离与修复闭环</w:t>
      </w:r>
    </w:p>
    <w:p>
      <w:r>
        <w:t>TASK两处工作表链接遗漏outputs前缀已修正，所有本包活动文档链接检查通过。旧候选尚未注册的表述保留在原件中，旧位置只保留当前导航。</w:t>
      </w:r>
    </w:p>
    <w:p>
      <w:r>
        <w:t>真实结果、A-06范围关闭、作者同意、逐对象权属批准、匹配成品、接收者及真实签署仍未完成；缺口归原任务处理，不由整理推定通过。</w:t>
      </w:r>
    </w:p>
    <w:p>
      <w:pPr>
        <w:pStyle w:val="Heading1"/>
      </w:pPr>
      <w:r>
        <w:t>七 目录与文件整理</w:t>
      </w:r>
    </w:p>
    <w:p>
      <w:r>
        <w:t>inputs存权威来源，execution存只读核查和测试，evidence存实际日志及消费者影响，outputs存当前说明、空工作表和Word源，archive保留原四文件。没有旧真实部署程序可清理。</w:t>
      </w:r>
    </w:p>
    <w:p>
      <w:r>
        <w:t>原输入snapshot与签署不改，进行中及复核中的分发包不刷新。根目录19/19项已迁入human/agent，当前读取和运行入口已验证，业务签收不变。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A-06交真实范围和全部实际活动，A-05/U12-10交真实比较，W-03交同版主稿、作者与公开权限，Z-01交匹配成品和独立干净重建；权利人和机构确认素材、SDK、量表及数据的实际许可。</w:t>
      </w:r>
    </w:p>
    <w:p>
      <w:r>
        <w:t>U12-12交同版选择理由、未选原因、逐对象范围与批准给W-04，W-04实际打包、接收演练及维护。Unity完整体验独立于TD；V-04预演不替代最终旅程或真实链。有效预设情绪结果不因功能失败隐去，等效默认不开启。</w:t>
      </w:r>
    </w:p>
    <w:p>
      <w:pPr>
        <w:pStyle w:val="Heading1"/>
      </w:pPr>
      <w:r>
        <w:t>九 审阅与责任签收</w:t>
      </w:r>
    </w:p>
    <w:p>
      <w:r>
        <w:t>当前负责人、独立复核者与真实签收人均未指定。Agent可整理、分析软件候选和核对来源，不能代填作者同意、机构权属决定或PASS。签收须限定到实际审阅的同版对象和范围。</w:t>
      </w:r>
    </w:p>
    <w:p>
      <w:r>
        <w:t>历史审核人 未指定    日期 未签署</w:t>
      </w:r>
    </w:p>
    <w:p>
      <w:r>
        <w:t>本轮由作者Agent整理和运行软件检查，不等于独立复核或真实第二人签收。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活动注册、四原候选、A-06实际范围、W-03投稿权限、Z-01制品状态、W-04八对象及接收缺口、U12-10十五合成案例、当前两个工作表及本轮软件验证。</w:t>
      </w:r>
    </w:p>
    <w:p>
      <w:hyperlink r:id="rId10">
        <w:r>
          <w:t>当前成果决定交接</w:t>
        </w:r>
      </w:hyperlink>
    </w:p>
    <w:p>
      <w:hyperlink r:id="rId11">
        <w:r>
          <w:t>方案选择工作表</w:t>
        </w:r>
      </w:hyperlink>
    </w:p>
    <w:p>
      <w:hyperlink r:id="rId12">
        <w:r>
          <w:t>逐对象公开工作表</w:t>
        </w:r>
      </w:hyperlink>
    </w:p>
    <w:p>
      <w:hyperlink r:id="rId13">
        <w:r>
          <w:t>实际现状观察</w:t>
        </w:r>
      </w:hyperlink>
    </w:p>
    <w:p>
      <w:hyperlink r:id="rId14">
        <w:r>
          <w:t>本轮软件验证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12/outputs/current-decision.md" TargetMode="External"/><Relationship Id="rId11" Type="http://schemas.openxmlformats.org/officeDocument/2006/relationships/hyperlink" Target="file:///D:/Agent/srp/agent/tasks/U12-12/outputs/decision-workbook.md" TargetMode="External"/><Relationship Id="rId12" Type="http://schemas.openxmlformats.org/officeDocument/2006/relationships/hyperlink" Target="file:///D:/Agent/srp/agent/tasks/U12-12/outputs/publication-workbook.md" TargetMode="External"/><Relationship Id="rId13" Type="http://schemas.openxmlformats.org/officeDocument/2006/relationships/hyperlink" Target="file:///D:/Agent/srp/agent/tasks/U12-12/outputs/current-decision.json" TargetMode="External"/><Relationship Id="rId14" Type="http://schemas.openxmlformats.org/officeDocument/2006/relationships/hyperlink" Target="file:///D:/Agent/srp/agent/tasks/U12-12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