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V03 四层视听映射与资产基线审阅</w:t>
      </w:r>
    </w:p>
    <w:p>
      <w:r>
        <w:t>审阅日期 2026-09-28    任务 V-03</w:t>
      </w:r>
    </w:p>
    <w:p>
      <w:pPr>
        <w:pStyle w:val="Heading1"/>
      </w:pPr>
      <w:r>
        <w:t>一 当前结论</w:t>
      </w:r>
    </w:p>
    <w:p>
      <w:r>
        <w:t>V-03原DONE和设计签收保留。三工具及资产测试迁入Agent，修复历史资产校验混用当前依赖与生成器覆盖签署文件的问题。当前40行对齐v2.2、固定镜头、fade有效时间复色及累计锁定；64项回归和新旧交接通过，素材许可与真实呈现仍待下游。</w:t>
      </w:r>
    </w:p>
    <w:p>
      <w:r>
        <w:t>原负责人Codex，原包约3人日，前置V-02/R-01；DONE与傅钧烨原签收保留。本轮更新当前使用入口，不改原规划、合同和签署，不把设计确认写成运行完成。</w:t>
      </w:r>
    </w:p>
    <w:p>
      <w:pPr>
        <w:pStyle w:val="Heading1"/>
      </w:pPr>
      <w:r>
        <w:t>二 目标与完成标准</w:t>
      </w:r>
    </w:p>
    <w:p>
      <w:r>
        <w:t>AC1四天气四层独立且背景不泄露节律；AC2双条件信息时点和失败状态可比较，未知实际不补零；AC3七类资产登记和七维风险排序形成切片交接。</w:t>
      </w:r>
    </w:p>
    <w:p>
      <w:r>
        <w:t>技能为反馈映射、声音设计、动态参数和资产来源规划；国内资料沿用L-UNITYLEARN/L-RESEARCH/L-DATASEC，统一学习入口见审阅来源。</w:t>
      </w:r>
    </w:p>
    <w:p>
      <w:pPr>
        <w:pStyle w:val="Heading1"/>
      </w:pPr>
      <w:r>
        <w:t>三 实际交付</w:t>
      </w:r>
    </w:p>
    <w:p>
      <w:r>
        <w:t>三份工具和原8项资产测试实际迁入execution，删除旧入口。current-mapping.json保留4天气×2条件×5层的40行，asset-drift.json记录57到56个直接包的真实变化。</w:t>
      </w:r>
    </w:p>
    <w:p>
      <w:r>
        <w:t>TASK及五目录、命令证据、当前使用说明、消费者影响和Word事实源齐备；原13份ADR及签署文件保持原件。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旧交付校验实跑在资产生成比对失败：生成器读取当前manifest，而原台账记录签收时57包。历史复算显式读取f09f0d5候选Git原件，验证Windows CRLF证据字节；当前依赖另检56包。</w:t>
      </w:r>
    </w:p>
    <w:p>
      <w:r>
        <w:t>生成器直接运行只写本包historical-rebuild，避免覆盖已签署JSON。当前40行补v2.2周期/步骤字段，fade累计只管独立轮廓纹理；全屏复色按有效时间，段切换不得重启累计生命周期。</w:t>
      </w:r>
    </w:p>
    <w:p>
      <w:pPr>
        <w:pStyle w:val="Heading1"/>
      </w:pPr>
      <w:r>
        <w:t>五 验证与结果</w:t>
      </w:r>
    </w:p>
    <w:p>
      <w:r>
        <w:t>历史准备与交付通过，实际Draft 2020-12验证开启；历史78项资产和57直接包复算通过。当前56包登记与F-05字段存在性通过，V-02当前交接通过。</w:t>
      </w:r>
    </w:p>
    <w:p>
      <w:r>
        <w:t>64项回归包括原8项资产负测、40行来源串扰、镜头/素材/fade规则、累计锁定、四天气v2.2、重复行、历史哈希及生成器不写签署目录。未运行Unity或真实设备。</w:t>
      </w:r>
    </w:p>
    <w:p>
      <w:pPr>
        <w:pStyle w:val="Heading1"/>
      </w:pPr>
      <w:r>
        <w:t>六 偏离与修复闭环</w:t>
      </w:r>
    </w:p>
    <w:p>
      <w:r>
        <w:t>V03-N01历史与当前依赖混用已分开；N02生成器覆盖签署路径已改并负测。N03旧卷轴、粗相位和累计颜色在当前40行及使用说明订正，未回写历史。</w:t>
      </w:r>
    </w:p>
    <w:p>
      <w:r>
        <w:t>原七维双评分仍支持先做fade的设计排序，但旧卷轴成本不是当前性能实测；不凭本轮技术检查改切片或宣布素材已许可。</w:t>
      </w:r>
    </w:p>
    <w:p>
      <w:pPr>
        <w:pStyle w:val="Heading1"/>
      </w:pPr>
      <w:r>
        <w:t>七 目录与文件整理</w:t>
      </w:r>
    </w:p>
    <w:p>
      <w:r>
        <w:t>execution包含历史生成、历史交付/准备检查、当前生成/检查和两个测试文件；输出、证据和历史保留理由分开。旧99脚本与02技术目录测试删除，不留兼容入口。</w:t>
      </w:r>
    </w:p>
    <w:p>
      <w:r>
        <w:t>共享Unity运行实现仍保持程序集目录；原签收材料和冻结领取输入不动，根目录19/19项已迁入human/agent，当前读取和运行入口已验证，业务签收不变。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V-02当前场景、R-01四层与U-02累计生命周期共同约束当前映射。F-05提供实际v2.2字段；V-04后续素材、镜头和fade裁定优先，不把旧设计Schema当网络Schema。</w:t>
      </w:r>
    </w:p>
    <w:p>
      <w:r>
        <w:t>V-05/U-03至U-07验证真实天气及同源双条件；G-02/U-08逐实例映射32素材及许可，U12-06/X-01接教学暴露。旧21设计项不是现有32素材完整清单，缺口保留。下一规范化包V-04。</w:t>
      </w:r>
    </w:p>
    <w:p>
      <w:pPr>
        <w:pStyle w:val="Heading1"/>
      </w:pPr>
      <w:r>
        <w:t>九 审阅与责任签收</w:t>
      </w:r>
    </w:p>
    <w:p>
      <w:r>
        <w:t>历史独立复核与傅钧烨签署只覆盖f09f0d5候选；本轮Codex技术复测不是新真人签收，没有代填新签名或新独立Agent复核。</w:t>
      </w:r>
    </w:p>
    <w:p>
      <w:r>
        <w:t>历史审核人 傅钧烨（团队总监、真实第二人）    日期 2026-08-24 +08:00</w:t>
      </w:r>
    </w:p>
    <w:p>
      <w:r>
        <w:t>历史审核提交 e6d642e1eacb659edd965439bad6e6f643519c0e</w:t>
      </w:r>
    </w:p>
    <w:p>
      <w:r>
        <w:t>审阅f09f0d5f1f35c98ea447eb3545c18fbb3fb36925及已有验证，不表述为本人重跑；签名不转移到本轮新输出。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当前映射、依赖变化、实际命令、消费者影响和原签署见可点击链接；Word只从Agent事实生成，修复先落执行层。</w:t>
      </w:r>
    </w:p>
    <w:p>
      <w:hyperlink r:id="rId10">
        <w:r>
          <w:t>当前四层与资产交接</w:t>
        </w:r>
      </w:hyperlink>
    </w:p>
    <w:p>
      <w:hyperlink r:id="rId11">
        <w:r>
          <w:t>当前40行映射</w:t>
        </w:r>
      </w:hyperlink>
    </w:p>
    <w:p>
      <w:hyperlink r:id="rId12">
        <w:r>
          <w:t>当前依赖变化</w:t>
        </w:r>
      </w:hyperlink>
    </w:p>
    <w:p>
      <w:hyperlink r:id="rId13">
        <w:r>
          <w:t>实跑命令证据</w:t>
        </w:r>
      </w:hyperlink>
    </w:p>
    <w:p>
      <w:hyperlink r:id="rId14">
        <w:r>
          <w:t>下游影响</w:t>
        </w:r>
      </w:hyperlink>
    </w:p>
    <w:p>
      <w:hyperlink r:id="rId15">
        <w:r>
          <w:t>原真实签收</w:t>
        </w:r>
      </w:hyperlink>
    </w:p>
    <w:p>
      <w:hyperlink r:id="rId16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V-03/outputs/current-mapping.md" TargetMode="External"/><Relationship Id="rId11" Type="http://schemas.openxmlformats.org/officeDocument/2006/relationships/hyperlink" Target="file:///D:/Agent/srp/agent/tasks/V-03/outputs/current-mapping.json" TargetMode="External"/><Relationship Id="rId12" Type="http://schemas.openxmlformats.org/officeDocument/2006/relationships/hyperlink" Target="file:///D:/Agent/srp/agent/tasks/V-03/outputs/asset-drift.json" TargetMode="External"/><Relationship Id="rId13" Type="http://schemas.openxmlformats.org/officeDocument/2006/relationships/hyperlink" Target="file:///D:/Agent/srp/agent/tasks/V-03/evidence/verification.json" TargetMode="External"/><Relationship Id="rId14" Type="http://schemas.openxmlformats.org/officeDocument/2006/relationships/hyperlink" Target="file:///D:/Agent/srp/agent/tasks/V-03/evidence/consumer-impact.md" TargetMode="External"/><Relationship Id="rId15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0_%E4%BA%A7%E5%93%81%E4%B8%8E%E5%9C%BA%E6%99%AF%E8%AE%BE%E8%AE%A1/V-03_%E5%9B%9B%E5%B1%82%E8%A7%86%E5%90%AC%E6%98%A0%E5%B0%84%E4%B8%8E%E8%B5%84%E4%BA%A7%E6%9D%A5%E6%BA%90%E5%9F%BA%E7%BA%BF/V-03_%E6%8A%80%E6%9C%AF%E9%AA%8C%E6%94%B6%E8%AE%B0%E5%BD%95_%E5%B7%B2%E7%AD%BE%E7%BD%B2.md" TargetMode="External"/><Relationship Id="rId16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