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X02 策略学习与离线评价交接审阅</w:t>
      </w:r>
    </w:p>
    <w:p>
      <w:r>
        <w:t>审阅日期 2026-09-29    任务 X-02</w:t>
      </w:r>
    </w:p>
    <w:p>
      <w:pPr>
        <w:pStyle w:val="Heading1"/>
      </w:pPr>
      <w:r>
        <w:t>一 当前结论</w:t>
      </w:r>
    </w:p>
    <w:p>
      <w:r>
        <w:t>X-02仍WAIT_DEP、未领取且未签署。两旧v1.1方案原文归档，当前交接与历史消费者修复，42项专项通过；没有训练器、OPE、ESS、实际模型或冻结报告，核心论文不等待可选扩展。</w:t>
      </w:r>
    </w:p>
    <w:p>
      <w:r>
        <w:t>约5人日，依赖整个A-03，实施/复核负责人为空。SPEC已签收不等于REAL/CAL或阶段一锁定资料可用；当前只有规范化任务与方法交接。</w:t>
      </w:r>
    </w:p>
    <w:p>
      <w:pPr>
        <w:pStyle w:val="Heading1"/>
      </w:pPr>
      <w:r>
        <w:t>二 目标与完成标准</w:t>
      </w:r>
    </w:p>
    <w:p>
      <w:r>
        <w:t>AC1嵌套交叉验证、缩放、bootstrap和区间按参与者分组；AC2合法动作正概率且报告支持/OPE/ESS；AC3不稳定、低质量或支持不足时用冻结均匀/更简策略，同输入种子逐决策可重放。</w:t>
      </w:r>
    </w:p>
    <w:p>
      <w:r>
        <w:t>五天依次对齐输入、分组训练、离线评价、回退消融、重放交接。TASK列国内资料和明确产物，需真实实现/统计复核/集成人领取，不把通用分析流程当已完成模型。</w:t>
      </w:r>
    </w:p>
    <w:p>
      <w:pPr>
        <w:pStyle w:val="Heading1"/>
      </w:pPr>
      <w:r>
        <w:t>三 实际交付</w:t>
      </w:r>
    </w:p>
    <w:p>
      <w:r>
        <w:t>建立TASK与五目录，当前状态/方法说明和JSON、来源、消费者影响及9项交接测试。两份旧23目录方案实际原文归档，原位置导航当前入口；旧验证器修复读取归档。</w:t>
      </w:r>
    </w:p>
    <w:p>
      <w:r>
        <w:t>共享随机化和Schema未改，没有虚构旧模型工具迁移。当前验收只是交接/既有行为核对，不生成合成模型、OPE价值、ESS或校准图来冒充交付。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旧有序功能门不支配当前PANAS主比较；可选扩展不阻断核心收尾。策略学习用锁定阶段一scene_native轨迹，X-01供顺序前缀行为概率，实际前状态由记录构建。</w:t>
      </w:r>
    </w:p>
    <w:p>
      <w:r>
        <w:t>末测可作末端结果，不进入状态；未来信息、阶段三结果和实名禁入，心电只离线解释。PF/SQI/降级为护栏，不任意混成奖励；预测负性维度若越低越好，选择方向须一致。</w:t>
      </w:r>
    </w:p>
    <w:p>
      <w:pPr>
        <w:pStyle w:val="Heading1"/>
      </w:pPr>
      <w:r>
        <w:t>五 验证与结果</w:t>
      </w:r>
    </w:p>
    <w:p>
      <w:r>
        <w:t>42项专项通过，9项新交接/原件/路线/Schema检查与33项既有随机化。实际阶段一scene_native覆盖24排列，位置概率乘积1/24；v2.2目标概率null不能当完整目标分布。</w:t>
      </w:r>
    </w:p>
    <w:p>
      <w:r>
        <w:t>历史v1.1消费者通过；原文件字节核对与当前导航通过。根回归及治理结果见regression.json；没有真实训练、OPE/ESS、冻结、Unity/TD或新独立/真人复核。</w:t>
      </w:r>
    </w:p>
    <w:p>
      <w:pPr>
        <w:pStyle w:val="Heading1"/>
      </w:pPr>
      <w:r>
        <w:t>六 偏离与修复闭环</w:t>
      </w:r>
    </w:p>
    <w:p>
      <w:r>
        <w:t>旧门序和当前研究定位冲突通过原文归档、导航与消费者修复处理，历史阈值和标记不改写。当前奖励、OPE估计器、温度、混合率和支持/ESS阈值为null，不借旧20%候选当正式值。</w:t>
      </w:r>
    </w:p>
    <w:p>
      <w:r>
        <w:t>外层评价不调参，缩放只拟合当折训练者；bootstrap按人。完整块随机化的跨人依赖另需设计一致推断，不能宣称按人分组自动消除；最高均值顺序不能证明普遍最优。</w:t>
      </w:r>
    </w:p>
    <w:p>
      <w:pPr>
        <w:pStyle w:val="Heading1"/>
      </w:pPr>
      <w:r>
        <w:t>七 目录与文件整理</w:t>
      </w:r>
    </w:p>
    <w:p>
      <w:r>
        <w:t>本包只有TASK与inputs/execution/evidence/outputs/archive。两旧方案限定原字节归档，当前Word由Agent结构化事实生成；未改领取状态或冻结输入。</w:t>
      </w:r>
    </w:p>
    <w:p>
      <w:r>
        <w:t>共享业务模块以agent/modules为当前权威入口，根目录19/19项已迁入human/agent，当前读取和运行入口已验证，业务签收不变。规范化状态不代替研究或模型签收，无业务状态变化不重绘SVG。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A-01提供完整轨迹/原件/L3，A-03提供真实测量与锁定结果，X-01供分配身份和行为概率；缺失/支持按位置及候选历史处理，研究编号只作分组键。</w:t>
      </w:r>
    </w:p>
    <w:p>
      <w:r>
        <w:t>E-05冻结真实模型、方法、阈值及模型核查结果；X-03只读加载和逐决策部署，P-01保持编排权威。阶段三独立队列比较包含回退的部署策略，同一锁定资料的学习/OPE不是确认性优效。</w:t>
      </w:r>
    </w:p>
    <w:p>
      <w:pPr>
        <w:pStyle w:val="Heading1"/>
      </w:pPr>
      <w:r>
        <w:t>九 审阅与责任签收</w:t>
      </w:r>
    </w:p>
    <w:p>
      <w:r>
        <w:t>Codex完成当前材料整理，不领取整个X-02。训练、统计复核和集成负责人尚未落实，无模型卡或真人签署，不借A-03-SPEC或X-01原签署填本包PASS。</w:t>
      </w:r>
    </w:p>
    <w:p>
      <w:r>
        <w:t>历史审核人 未签收    日期 无</w:t>
      </w:r>
    </w:p>
    <w:p>
      <w:r>
        <w:t>没有X-02历史签署。本轮Codex整理与软件检查，不代表独立Agent复核、真实训练或真人方法批准。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注册表/任务手册、两旧方案、当前投稿路线、A-01/A-03/X-01交接、实际随机化与v2.2 Schema。本轮未新增网页方法核验、受限数据或外部批准。</w:t>
      </w:r>
    </w:p>
    <w:p>
      <w:hyperlink r:id="rId10">
        <w:r>
          <w:t>当前策略数据与方法交接</w:t>
        </w:r>
      </w:hyperlink>
    </w:p>
    <w:p>
      <w:hyperlink r:id="rId11">
        <w:r>
          <w:t>未实现与未冻结字段</w:t>
        </w:r>
      </w:hyperlink>
    </w:p>
    <w:p>
      <w:hyperlink r:id="rId12">
        <w:r>
          <w:t>实际专项结果</w:t>
        </w:r>
      </w:hyperlink>
    </w:p>
    <w:p>
      <w:hyperlink r:id="rId13">
        <w:r>
          <w:t>原件归档与字节记录</w:t>
        </w:r>
      </w:hyperlink>
    </w:p>
    <w:p>
      <w:hyperlink r:id="rId14">
        <w:r>
          <w:t>消费者和下游影响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X-02/outputs/current-policy.md" TargetMode="External"/><Relationship Id="rId11" Type="http://schemas.openxmlformats.org/officeDocument/2006/relationships/hyperlink" Target="file:///D:/Agent/srp/agent/tasks/X-02/outputs/current-policy.json" TargetMode="External"/><Relationship Id="rId12" Type="http://schemas.openxmlformats.org/officeDocument/2006/relationships/hyperlink" Target="file:///D:/Agent/srp/agent/tasks/X-02/evidence/verification.json" TargetMode="External"/><Relationship Id="rId13" Type="http://schemas.openxmlformats.org/officeDocument/2006/relationships/hyperlink" Target="file:///D:/Agent/srp/agent/tasks/X-02/archive/README.md" TargetMode="External"/><Relationship Id="rId14" Type="http://schemas.openxmlformats.org/officeDocument/2006/relationships/hyperlink" Target="file:///D:/Agent/srp/agent/tasks/X-02/evidence/consumer-impac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