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W-02依赖W-01|A-06|U12-07；核心写作不等A-04。U12-07旧RQ/句式需要新候选，签名不转移；A-06供实际范围、锁库和主张—结果—图表关联，W-03再消费同一证据。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HANDOFF_U12_07_SIGNED_TEXT_REVISION：已签收U12-07仍含旧RQ/有序门/八题写法，隔离当前权威并需其新候选修订，不改签名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待整理队列</w:t>
      </w:r>
    </w:p>
    <w:p>
      <w:pPr>
        <w:keepNext/>
      </w:pPr>
      <w:r>
        <w:t>已整理34包，待整理37包；根目录双层迁移未完成。下一项Q-01。</w:t>
      </w:r>
    </w:p>
    <w:p>
      <w:pPr>
        <w:keepLines/>
      </w:pPr>
      <w:r>
        <w:t>Q-01、Q-02、Q-03、X-01、X-02、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