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02 步骤实例测量与材料交接审阅</w:t>
      </w:r>
    </w:p>
    <w:p>
      <w:r>
        <w:t>审阅日期 2026-09-29    任务 U12-02</w:t>
      </w:r>
    </w:p>
    <w:p>
      <w:pPr>
        <w:pStyle w:val="Heading1"/>
      </w:pPr>
      <w:r>
        <w:t>一 当前结论</w:t>
      </w:r>
    </w:p>
    <w:p>
      <w:r>
        <w:t>U12-02保持原限定候选签收DONE。生成器、标注计划与合成材料已实际归入Agent层，F-02/Q-02/E-02消费者已修复；运行测量接口不改，真实片段、独立标注与测量有效性仍未完成。</w:t>
      </w:r>
    </w:p>
    <w:p>
      <w:r>
        <w:t>固定任务3人日，依赖U12-01/F-02/F-05；原领取Codex，历史分支codex/u12-02-step-measurement。原报告及acceptance字节保留，新生成材料不继承原签名。</w:t>
      </w:r>
    </w:p>
    <w:p>
      <w:pPr>
        <w:pStyle w:val="Heading1"/>
      </w:pPr>
      <w:r>
        <w:t>二 目标与完成标准</w:t>
      </w:r>
    </w:p>
    <w:p>
      <w:r>
        <w:t>AC1冻结输入与来源可追溯；AC2分别识别hold_1/hold_2、inhale_1/inhale_2，实际null不借目标补值；AC3原提交、独立复核和真人签收绑定，不代签外部条件。</w:t>
      </w:r>
    </w:p>
    <w:p>
      <w:r>
        <w:t>四段为核对独立真值、确定八题、生成双条件材料、保留作答与缺失交接。身份相同不等于时序误差合格或执行正确。</w:t>
      </w:r>
    </w:p>
    <w:p>
      <w:pPr>
        <w:pStyle w:val="Heading1"/>
      </w:pPr>
      <w:r>
        <w:t>三 实际交付</w:t>
      </w:r>
    </w:p>
    <w:p>
      <w:r>
        <w:t>固定TASK及五目录、12项真实来源、当前说明与机器状态、活动生成器、标注计划、新五文件合成输出与旧原件归档。共享measurement.py接口及版本不改。</w:t>
      </w:r>
    </w:p>
    <w:p>
      <w:r>
        <w:t>15合成案例、30双条件私有材料、15条件中性题面仍为八题；storm/heat/snow/fade步骤选项分别5/3/3/4项，题目正式采用与心理测量验证尚未冻结。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实际非空需独立来源引用、未知需原因；引用文本不证明原件真实性或标注质量。断流/降级保留审计字段，题面不使用陈旧实际；下一目标不用于推断实际。</w:t>
      </w:r>
    </w:p>
    <w:p>
      <w:r>
        <w:t>累计区间来自显示映射/注释，同片段起点累计值不借别模块。公开题面不含答案或真值，私有键是合成材料；理解题在PANAS后测之后，不给体验增加操作，也不隐去有效情绪结果。</w:t>
      </w:r>
    </w:p>
    <w:p>
      <w:pPr>
        <w:pStyle w:val="Heading1"/>
      </w:pPr>
      <w:r>
        <w:t>五 验证与结果</w:t>
      </w:r>
    </w:p>
    <w:p>
      <w:r>
        <w:t>74专项通过，覆盖原字节、候选签收、旧五文件哈希、新旧输入/题面/键逐字节一致、两条件等值和缺失/篡改负例。生成器check复算通过，F-02/Q-02当前来源结构检查通过。</w:t>
      </w:r>
    </w:p>
    <w:p>
      <w:r>
        <w:t>根635项回归、协议/治理/71注册/5分发包与61快照通过。旧45专项、633根回归及Carson708组等仅保留历史结果，本轮未执行真实片段或心理测量验证。</w:t>
      </w:r>
    </w:p>
    <w:p>
      <w:pPr>
        <w:pStyle w:val="Heading1"/>
      </w:pPr>
      <w:r>
        <w:t>六 偏离与修复闭环</w:t>
      </w:r>
    </w:p>
    <w:p>
      <w:r>
        <w:t>原生成器混在运行模块且直接写旧证据目录，现已迁入execution，固定写outputs/materials。原签收五文件实际归档，新的来源路径/哈希独立，不覆盖原身份。</w:t>
      </w:r>
    </w:p>
    <w:p>
      <w:r>
        <w:t>F-02/Q-02/E-02验证入口、测量测试导入和Q-02材料读取已改到实际新位置；成员导航中失效03-SRP绝对路径修为当前srp路径。原技术记录IN_REVIEW过程语句归档，不作为当前状态。</w:t>
      </w:r>
    </w:p>
    <w:p>
      <w:pPr>
        <w:pStyle w:val="Heading1"/>
      </w:pPr>
      <w:r>
        <w:t>七 目录与文件整理</w:t>
      </w:r>
    </w:p>
    <w:p>
      <w:r>
        <w:t>旧说明、技术记录、生成器、状态工具及原合成证据实际归档；活动标注计划迁入outputs。运行模块保留最小当前入口，原签署报告和机器签收不改。</w:t>
      </w:r>
    </w:p>
    <w:p>
      <w:r>
        <w:t>固定五目录分别存来源、生成与验证、实测输出、活动计划与材料、历史原件；先修Agent再生成Word。共享测量代码及全部根业务资料仍待整体归入双层。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S-02给独立真实标签/原始记录/时钟；U-02/U-07给双条件同事件视频；Q-01/Q-02核验逐题等值、无片段/替代片段和可读性。原生未显示信息时先修订呈现与题库，不从答案反推可读。</w:t>
      </w:r>
    </w:p>
    <w:p>
      <w:r>
        <w:t>RESPONDED为0/1；跳过、超时、技术未呈现保留null。U12-04/U12-11冻结分母和缺失分析，U12-09消费来源复算。真实标注人员、规模、阈值与活动许可尚未落实。</w:t>
      </w:r>
    </w:p>
    <w:p>
      <w:pPr>
        <w:pStyle w:val="Heading1"/>
      </w:pPr>
      <w:r>
        <w:t>九 审阅与责任签收</w:t>
      </w:r>
    </w:p>
    <w:p>
      <w:r>
        <w:t>历史Carson独立审查与傅钧烨签收范围保留，本轮仅作者Agent整理和软件复测。无新独立复核或真人有效性评估，不把原签名用于新生成器。</w:t>
      </w:r>
    </w:p>
    <w:p>
      <w:r>
        <w:t>历史审核人 傅钧烨    日期 2026-09-08 +08:00</w:t>
      </w:r>
    </w:p>
    <w:p>
      <w:r>
        <w:t>历史审核提交 ba495b54e6939c2bb1c4a07592400f82c0292864</w:t>
      </w:r>
    </w:p>
    <w:p>
      <w:r>
        <w:t>原独立Carson复核PASS，傅钧烨审阅已有提交和验证后签收实现与合成证据，不表述为本人重跑测试。签收提交28bf474643cda6c59480ea3d478749269d5cf3eb；本轮未取得新独立审查或真人签署。</w:t>
      </w:r>
    </w:p>
    <w:p>
      <w:pPr>
        <w:pStyle w:val="Heading1"/>
      </w:pPr>
      <w:r>
        <w:t>十 收尾与下一包</w:t>
      </w:r>
    </w:p>
    <w:p>
      <w:r>
        <w:t>累计61/71包规范化，余10，下一U12-03。原限定候选业务DONE不变；全部旧根业务目录物理迁移与运行引用修复尚未完成。</w:t>
      </w:r>
    </w:p>
    <w:p>
      <w:pPr>
        <w:pStyle w:val="Heading1"/>
      </w:pPr>
      <w:r>
        <w:t>十一 审阅来源</w:t>
      </w:r>
    </w:p>
    <w:p>
      <w:r>
        <w:t>测量源码、v2.2结构和合同、原签收/独立报告与技术记录、归档五文件、当前标注计划及F-02/Q-02/U12-01交接。合成输出不是正式参与者材料或实测数据。</w:t>
      </w:r>
    </w:p>
    <w:p>
      <w:hyperlink r:id="rId10">
        <w:r>
          <w:t>当前步骤测量交接</w:t>
        </w:r>
      </w:hyperlink>
    </w:p>
    <w:p>
      <w:hyperlink r:id="rId11">
        <w:r>
          <w:t>真实范围与原签收</w:t>
        </w:r>
      </w:hyperlink>
    </w:p>
    <w:p>
      <w:hyperlink r:id="rId12">
        <w:r>
          <w:t>活动独立标注计划</w:t>
        </w:r>
      </w:hyperlink>
    </w:p>
    <w:p>
      <w:hyperlink r:id="rId13">
        <w:r>
          <w:t>本轮软件复测</w:t>
        </w:r>
      </w:hyperlink>
    </w:p>
    <w:p>
      <w:hyperlink r:id="rId14">
        <w:r>
          <w:t>实际迁移及消费者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2/outputs/current-measurement.md" TargetMode="External"/><Relationship Id="rId11" Type="http://schemas.openxmlformats.org/officeDocument/2006/relationships/hyperlink" Target="file:///D:/Agent/srp/agent/tasks/U12-02/outputs/current-measurement.json" TargetMode="External"/><Relationship Id="rId12" Type="http://schemas.openxmlformats.org/officeDocument/2006/relationships/hyperlink" Target="file:///D:/Agent/srp/agent/tasks/U12-02/outputs/annotation-plan.md" TargetMode="External"/><Relationship Id="rId13" Type="http://schemas.openxmlformats.org/officeDocument/2006/relationships/hyperlink" Target="file:///D:/Agent/srp/agent/tasks/U12-02/evidence/verification.json" TargetMode="External"/><Relationship Id="rId14" Type="http://schemas.openxmlformats.org/officeDocument/2006/relationships/hyperlink" Target="file:///D:/Agent/srp/agent/tasks/U12-02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