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P01 会话编排与跨包消费审阅</w:t>
      </w:r>
    </w:p>
    <w:p>
      <w:r>
        <w:t>审阅日期 2026-09-28    任务 P-01</w:t>
      </w:r>
    </w:p>
    <w:p>
      <w:pPr>
        <w:pStyle w:val="Heading1"/>
      </w:pPr>
      <w:r>
        <w:t>一 当前结论</w:t>
      </w:r>
    </w:p>
    <w:p>
      <w:r>
        <w:t>P-01历史DONE及傅钧烨真实签收保持不变。本轮将golden生成器迁入Agent执行层，434项核心及消费者回归通过，四模块800秒轨迹与历史样例一致；核心前条件教学尚未接入，不作为本包已完成范围。</w:t>
      </w:r>
    </w:p>
    <w:p>
      <w:r>
        <w:t>当前执行Codex，注册状态不变。核心时钟、固定顺序、控制与本机传输已复测；软件回归不代表正式教学、Unity画面、真实设备或研究结果。</w:t>
      </w:r>
    </w:p>
    <w:p>
      <w:pPr>
        <w:pStyle w:val="Heading1"/>
      </w:pPr>
      <w:r>
        <w:t>二 目标与完成标准</w:t>
      </w:r>
    </w:p>
    <w:p>
      <w:r>
        <w:t>原包约6人日。AC1为确定性时钟、24顺序、双提示及暂停恢复；AC2为请求幂等和相同ID控制重试；AC3为非法转换、正式门失败关闭、四模块默认800秒回放。</w:t>
      </w:r>
    </w:p>
    <w:p>
      <w:r>
        <w:t>本轮实际迁移执行工具，不改六个公共方法、Schema、协议时长或研究冻结字段；对照已签署原件，修正当前消费说明并生成可审阅Word。</w:t>
      </w:r>
    </w:p>
    <w:p>
      <w:pPr>
        <w:pStyle w:val="Heading1"/>
      </w:pPr>
      <w:r>
        <w:t>三 实际交付</w:t>
      </w:r>
    </w:p>
    <w:p>
      <w:r>
        <w:t>generate_golden_trace.py从srp_session_core实际移入agent/tasks/P-01/execution；旧文件删除，无转发副本。测试导入改用固定执行层，verify.py及verify.ps1为本轮入口。</w:t>
      </w:r>
    </w:p>
    <w:p>
      <w:r>
        <w:t>本轮轨迹和日志位于evidence/runtime，历史golden不覆盖。TASK、inputs、outputs与archive齐备；共享核心、配置、Schema仍为原模块唯一实现，后续整体迁移再收拢。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先读取注册AC、技术验收、真实签署和当前start暴露逻辑，再检查P-02重放消费者。旧签署记录中的候选状态属于当时事实，保留原字节。</w:t>
      </w:r>
    </w:p>
    <w:p>
      <w:r>
        <w:t>修正README把F-05和P-02称为候选的陈述，说明步骤v2.2不等于自适应顺序。新生成器默认写本轮证据，避免运行命令覆盖旧样例。</w:t>
      </w:r>
    </w:p>
    <w:p>
      <w:r>
        <w:t>文档工具运行时无pytest，专项改用项目Python 3.14运行，无安装或环境变更。Word继续由专用文档运行时生成。</w:t>
      </w:r>
    </w:p>
    <w:p>
      <w:pPr>
        <w:pStyle w:val="Heading1"/>
      </w:pPr>
      <w:r>
        <w:t>五 验证与结果</w:t>
      </w:r>
    </w:p>
    <w:p>
      <w:r>
        <w:t>P-01 116项、P-02 84项、协议95项、G-02 139项，共434项通过。覆盖现有24顺序、双提示、状态与时钟、TCP/UDP和重放消费；不执行真实设备或真人流程。</w:t>
      </w:r>
    </w:p>
    <w:p>
      <w:r>
        <w:t>新轨迹与历史样例逐对象一致：19控制、19ACK、12渲染回执、54会话事件、4策略决策，最终COMPLETED且有效时长800秒；新结果可打开复算。</w:t>
      </w:r>
    </w:p>
    <w:p>
      <w:r>
        <w:t>下游T-02未领取输入新增当前README和迁移后的生成器；进行中及复核包保持冻结。注册表与分发验证结果见integration.json。</w:t>
      </w:r>
    </w:p>
    <w:p>
      <w:pPr>
        <w:pStyle w:val="Heading1"/>
      </w:pPr>
      <w:r>
        <w:t>六 偏离与修复闭环</w:t>
      </w:r>
    </w:p>
    <w:p>
      <w:r>
        <w:t>P01-N01：散落模块的执行工具且默认覆盖旧golden，已迁入固定目录并改用新输出，434项回归和golden比较通过。P01-N02：当前入口沿用F-05/P-02候选与旧目录，已修正。</w:t>
      </w:r>
    </w:p>
    <w:p>
      <w:r>
        <w:t>P01-N03：G-02交接的核心前教学暴露缺口已在当前README明确；prepare不登记，首次核心start才登记。教学接入需P-01/U12-11冻结时序后实现，当前仍开放，不以历史DONE或本轮测试关闭。</w:t>
      </w:r>
    </w:p>
    <w:p>
      <w:pPr>
        <w:pStyle w:val="Heading1"/>
      </w:pPr>
      <w:r>
        <w:t>七 目录与文件整理</w:t>
      </w:r>
    </w:p>
    <w:p>
      <w:r>
        <w:t>TASK与五固定目录组成执行包。当前结果、历史证据与生成工具分开，历史审核报告和技术验收记录保留，过期执行路径移除。</w:t>
      </w:r>
    </w:p>
    <w:p>
      <w:r>
        <w:t>共享实现仍在技术模块，根目录双层收拢尚未完成；本轮迁移工具是真实整理，不把引用清单当作共享模块已经迁移。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F-01/F-05决定消息版本；G-02提供隐私与暴露，X-01提供分配，P-02提供耐久追加与重放。Unity维护镜像而非流程时钟，TD不自行推进研究状态。</w:t>
      </w:r>
    </w:p>
    <w:p>
      <w:r>
        <w:t>U12-06继续阻断未冻结正式运行。条件教学位于前测之后、核心之前的候选安排须由U12-11冻结；在展示条件教学前登记，并补教学后退出、未启动核心和再次预约负测。当前不能提前展示后再依赖核心start补登记。</w:t>
      </w:r>
    </w:p>
    <w:p>
      <w:r>
        <w:t>T-02接收当前模块说明和新golden执行入口，P-02下一轮核对完整记录与确定性重放。I-01仍承担真实全链，研究情绪比较由真实前后测和研究分析支持，不能由本包工具结果替代。</w:t>
      </w:r>
    </w:p>
    <w:p>
      <w:pPr>
        <w:pStyle w:val="Heading1"/>
      </w:pPr>
      <w:r>
        <w:t>九 审阅与责任签收</w:t>
      </w:r>
    </w:p>
    <w:p>
      <w:r>
        <w:t>历史真实签收针对03d7426对象，记录于ea132c8；原报告98项为当时证据，本轮434项另存，不改签署范围。</w:t>
      </w:r>
    </w:p>
    <w:p>
      <w:r>
        <w:t>本轮完成工具迁移、专项复测和文档核对，没有追加独立Agent复查、真人签收或外部许可。待冻结教学和真实系统按下游责任继续办理。</w:t>
      </w:r>
    </w:p>
    <w:p>
      <w:r>
        <w:t>历史审核人 傅钧烨    日期 2026-08-21 +08:00</w:t>
      </w:r>
    </w:p>
    <w:p>
      <w:r>
        <w:t>历史审核提交 ea132c8f26db76d1a1f97daebea5e97258d969c4</w:t>
      </w:r>
    </w:p>
    <w:p>
      <w:r>
        <w:t>见证已有验证并审阅03d7426219121e49554e405db9dd521b8ab1d819；未声明亲自重跑，本轮不追加真人签署。</w:t>
      </w:r>
    </w:p>
    <w:p>
      <w:pPr>
        <w:pStyle w:val="Heading1"/>
      </w:pPr>
      <w:r>
        <w:t>十 收尾与下一包</w:t>
      </w:r>
    </w:p>
    <w:p>
      <w:r>
        <w:t>在codex/task-package-normalization按明确路径提交推送，不自动合并。规范化8包、剩余63包，下一包P-02；全部任务及最终根目录迁移仍在目标范围内。</w:t>
      </w:r>
    </w:p>
    <w:p>
      <w:pPr>
        <w:pStyle w:val="Heading1"/>
      </w:pPr>
      <w:r>
        <w:t>十一 审阅来源</w:t>
      </w:r>
    </w:p>
    <w:p>
      <w:r>
        <w:t>inputs/sources.json引用实现和历史签署，evidence/verification.json记录本轮测试与golden，integration.json记录治理验证。human/project-review.docx串联八包及开放交接。</w:t>
      </w:r>
    </w:p>
    <w:p>
      <w:hyperlink r:id="rId10">
        <w:r>
          <w:t>打开 P-01 当前执行入口</w:t>
        </w:r>
      </w:hyperlink>
    </w:p>
    <w:p>
      <w:hyperlink r:id="rId11">
        <w:r>
          <w:t>打开原真实第二人签收</w:t>
        </w:r>
      </w:hyperlink>
    </w:p>
    <w:p>
      <w:hyperlink r:id="rId12">
        <w:r>
          <w:t>打开本轮测试和轨迹结果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P-01/execution/verify.py" TargetMode="External"/><Relationship Id="rId11" Type="http://schemas.openxmlformats.org/officeDocument/2006/relationships/hyperlink" Target="file:///D:/Agent/srp/02-%E6%8A%80%E6%9C%AF%E7%A0%94%E5%8F%91/srp_session_core/P-01_%E7%AC%AC%E4%BA%8C%E4%BA%BA%E5%AE%A1%E6%A0%B8%E6%8A%A5%E5%91%8A_%E5%B7%B2%E7%AD%BE%E7%BD%B2.md" TargetMode="External"/><Relationship Id="rId12" Type="http://schemas.openxmlformats.org/officeDocument/2006/relationships/hyperlink" Target="file:///D:/Agent/srp/agent/tasks/P-01/evidence/verification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