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SRP</w:t>
      </w:r>
    </w:p>
    <w:p>
      <w:pPr>
        <w:pStyle w:val="Title"/>
      </w:pPr>
      <w:r>
        <w:t>项目升级最终审计</w:t>
      </w:r>
    </w:p>
    <w:p>
      <w:pPr>
        <w:pStyle w:val="Subtitle"/>
      </w:pPr>
      <w:r>
        <w:t>三轮讨论整合版  /  v1.2  /  2026-09-08</w:t>
      </w:r>
    </w:p>
    <w:p>
      <w:pPr>
        <w:spacing w:before="360"/>
      </w:pPr>
      <w:r>
        <w:rPr>
          <w:b/>
          <w:sz w:val="30"/>
        </w:rPr>
        <w:t>研究成功不是原生提示必胜。</w:t>
      </w:r>
    </w:p>
    <w:p>
      <w:r>
        <w:t>以可靠比较确定场景原生与抽象控件式提示在短时情绪调节中的收益、代价与设计边界。</w:t>
      </w:r>
    </w:p>
    <w:tbl>
      <w:tblPr>
        <w:tblW w:type="auto" w:w="0"/>
        <w:jc w:val="center"/>
        <w:tblLayout w:type="fixed"/>
        <w:tblLook w:firstColumn="1" w:firstRow="1" w:lastColumn="0" w:lastRow="0" w:noHBand="0" w:noVBand="1" w:val="04A0"/>
      </w:tblPr>
      <w:tblGrid>
        <w:gridCol w:w="4734"/>
        <w:gridCol w:w="4734"/>
      </w:tblGrid>
      <w:tr>
        <w:tc>
          <w:tcPr>
            <w:tcW w:type="dxa" w:w="1701"/>
            <w:vAlign w:val="top"/>
            <w:shd w:fill="EFEFEF"/>
          </w:tcPr>
          <w:p>
            <w:pPr>
              <w:spacing w:after="140" w:before="140"/>
            </w:pPr>
            <w:r>
              <w:rPr>
                <w:b/>
                <w:sz w:val="20"/>
              </w:rPr>
              <w:t>审查基线</w:t>
            </w:r>
          </w:p>
        </w:tc>
        <w:tc>
          <w:tcPr>
            <w:tcW w:type="dxa" w:w="7767"/>
            <w:vAlign w:val="top"/>
          </w:tcPr>
          <w:p>
            <w:pPr>
              <w:spacing w:after="140" w:before="140"/>
            </w:pPr>
            <w:r>
              <w:rPr>
                <w:sz w:val="20"/>
              </w:rPr>
              <w:t>JunyeFu/Emotional-Healing-System</w:t>
              <w:br/>
              <w:t>145f7b20b5e2b3453235fb79090b982785b4c5a3</w:t>
            </w:r>
          </w:p>
        </w:tc>
      </w:tr>
      <w:tr>
        <w:tc>
          <w:tcPr>
            <w:tcW w:type="dxa" w:w="1701"/>
            <w:vAlign w:val="top"/>
            <w:shd w:fill="EFEFEF"/>
          </w:tcPr>
          <w:p>
            <w:pPr>
              <w:spacing w:after="140" w:before="140"/>
            </w:pPr>
            <w:r>
              <w:rPr>
                <w:b/>
                <w:sz w:val="20"/>
              </w:rPr>
              <w:t>交付性质</w:t>
            </w:r>
          </w:p>
        </w:tc>
        <w:tc>
          <w:tcPr>
            <w:tcW w:type="dxa" w:w="7767"/>
            <w:vAlign w:val="top"/>
          </w:tcPr>
          <w:p>
            <w:pPr>
              <w:spacing w:after="140" w:before="140"/>
            </w:pPr>
            <w:r>
              <w:rPr>
                <w:sz w:val="20"/>
              </w:rPr>
              <w:t>研究设计、治理与可审阅迁移包；未应用到真实仓库</w:t>
            </w:r>
          </w:p>
        </w:tc>
      </w:tr>
      <w:tr>
        <w:tc>
          <w:tcPr>
            <w:tcW w:type="dxa" w:w="1701"/>
            <w:vAlign w:val="top"/>
            <w:shd w:fill="EFEFEF"/>
          </w:tcPr>
          <w:p>
            <w:pPr>
              <w:spacing w:after="140" w:before="140"/>
            </w:pPr>
            <w:r>
              <w:rPr>
                <w:b/>
                <w:sz w:val="20"/>
              </w:rPr>
              <w:t>主要结果</w:t>
            </w:r>
          </w:p>
        </w:tc>
        <w:tc>
          <w:tcPr>
            <w:tcW w:type="dxa" w:w="7767"/>
            <w:vAlign w:val="top"/>
          </w:tcPr>
          <w:p>
            <w:pPr>
              <w:spacing w:after="140" w:before="140"/>
            </w:pPr>
            <w:r>
              <w:rPr>
                <w:sz w:val="20"/>
              </w:rPr>
              <w:t>阶段一两种提示方案的基线校正后PANAS负性情绪比较</w:t>
            </w:r>
          </w:p>
        </w:tc>
      </w:tr>
      <w:tr>
        <w:tc>
          <w:tcPr>
            <w:tcW w:type="dxa" w:w="1701"/>
            <w:vAlign w:val="top"/>
            <w:shd w:fill="EFEFEF"/>
          </w:tcPr>
          <w:p>
            <w:pPr>
              <w:spacing w:after="140" w:before="140"/>
            </w:pPr>
            <w:r>
              <w:rPr>
                <w:b/>
                <w:sz w:val="20"/>
              </w:rPr>
              <w:t>核心路线</w:t>
            </w:r>
          </w:p>
        </w:tc>
        <w:tc>
          <w:tcPr>
            <w:tcW w:type="dxa" w:w="7767"/>
            <w:vAlign w:val="top"/>
          </w:tcPr>
          <w:p>
            <w:pPr>
              <w:spacing w:after="140" w:before="140"/>
            </w:pPr>
            <w:r>
              <w:rPr>
                <w:sz w:val="20"/>
              </w:rPr>
              <w:t>核心稿独立收尾；阶段三为可选扩展</w:t>
            </w:r>
          </w:p>
        </w:tc>
      </w:tr>
      <w:tr>
        <w:tc>
          <w:tcPr>
            <w:tcW w:type="dxa" w:w="1701"/>
            <w:vAlign w:val="top"/>
            <w:shd w:fill="EFEFEF"/>
          </w:tcPr>
          <w:p>
            <w:pPr>
              <w:spacing w:after="140" w:before="140"/>
            </w:pPr>
            <w:r>
              <w:rPr>
                <w:b/>
                <w:sz w:val="20"/>
              </w:rPr>
              <w:t>实证与准入</w:t>
            </w:r>
          </w:p>
        </w:tc>
        <w:tc>
          <w:tcPr>
            <w:tcW w:type="dxa" w:w="7767"/>
            <w:vAlign w:val="top"/>
          </w:tcPr>
          <w:p>
            <w:pPr>
              <w:spacing w:after="140" w:before="140"/>
            </w:pPr>
            <w:r>
              <w:rPr>
                <w:sz w:val="20"/>
              </w:rPr>
              <w:t>真实设备、正式样本、最终功效和机构批准仍待证据</w:t>
            </w:r>
          </w:p>
        </w:tc>
      </w:tr>
    </w:tbl>
    <w:p>
      <w:pPr>
        <w:spacing w:before="400"/>
      </w:pPr>
      <w:r>
        <w:t>配套文件：研究与执行合同、70节点目标依赖图、定点迁移规则、结果分类器、规划复算与验证日志。</w:t>
      </w:r>
    </w:p>
    <w:p>
      <w:r>
        <w:t>阅读范围：本文给出最终裁定与审计证据边界；完整字段、工具和来源见同名升级ZIP。未签署或未冻结的事项均保留阻断，不由“最终包”替代。</w:t>
      </w:r>
    </w:p>
    <w:p>
      <w:r>
        <w:br w:type="page"/>
      </w:r>
    </w:p>
    <w:p>
      <w:r>
        <w:t>仓库：JunyeFu/Emotional-Healing-System。固定快照：</w:t>
      </w:r>
      <w:r>
        <w:rPr>
          <w:rFonts w:ascii="Consolas" w:hAnsi="Consolas" w:eastAsia="Noto Sans CJK SC"/>
          <w:sz w:val="18"/>
        </w:rPr>
        <w:t>145f7b20b5e2b3453235fb79090b982785b4c5a3</w:t>
      </w:r>
      <w:r>
        <w:t>。本次重新读取main元数据，提交仍为2026-09-04该快照。[R1]</w:t>
      </w:r>
    </w:p>
    <w:p>
      <w:r>
        <w:t>本报告是作者侧内部审计，不是期刊审稿、真实专家评议或机构批准。交付范围是最终升级文件、可审阅迁移规则与本包工具；没有将修改应用到用户仓库，没有commit/push，没有采集真实参与者或运行Unity/TD/真实设备。</w:t>
      </w:r>
    </w:p>
    <w:p>
      <w:pPr>
        <w:pStyle w:val="Heading1"/>
      </w:pPr>
      <w:r>
        <w:t>1. 最终裁定</w:t>
      </w:r>
    </w:p>
    <w:p>
      <w:r>
        <w:rPr>
          <w:b/>
        </w:rPr>
        <w:t>保留课题，把研究中心放在两种提示方案的短时情绪收益与代价。研究成败不再等于原生方案是否获胜。</w:t>
      </w:r>
    </w:p>
    <w:p>
      <w:r>
        <w:t>候选工作题目：</w:t>
      </w:r>
      <w:r>
        <w:rPr>
          <w:b/>
        </w:rPr>
        <w:t>《场景原生与抽象控件式呼吸提示：短时负性情绪调节的比较证据与设计边界》</w:t>
      </w:r>
      <w:r>
        <w:t>。</w:t>
      </w:r>
    </w:p>
    <w:p>
      <w:r>
        <w:t>唯一主要经验问题是：在相同四个天气—呼吸复合模块和一次短时体验下，两种完整提示方案对基线校正后的PANAS负性情绪结果有何差异？执行质量、理解与努力提供功能底线及解释，四层表示提供可复核的设计结构；自适应编排是可选部署扩展。[C2,C3]</w:t>
      </w:r>
    </w:p>
    <w:tbl>
      <w:tblPr>
        <w:tblW w:type="auto" w:w="0"/>
        <w:jc w:val="center"/>
        <w:tblLayout w:type="fixed"/>
        <w:tblLook w:firstColumn="1" w:firstRow="1" w:lastColumn="0" w:lastRow="0" w:noHBand="0" w:noVBand="1" w:val="04A0"/>
        <w:tblBorders>
          <w:top w:val="single" w:sz="4" w:color="B5B5B5"/>
          <w:bottom w:val="single" w:sz="4" w:color="B5B5B5"/>
          <w:insideH w:val="single" w:sz="4" w:color="B5B5B5"/>
        </w:tblBorders>
      </w:tblPr>
      <w:tblGrid>
        <w:gridCol w:w="3156"/>
        <w:gridCol w:w="3156"/>
        <w:gridCol w:w="3156"/>
      </w:tblGrid>
      <w:tr>
        <w:trPr>
          <w:cantSplit/>
          <w:tblHeader/>
        </w:trPr>
        <w:tc>
          <w:tcPr>
            <w:tcW w:type="dxa" w:w="1814"/>
            <w:vAlign w:val="top"/>
            <w:tcMar>
              <w:top w:w="90" w:type="dxa"/>
              <w:bottom w:w="90" w:type="dxa"/>
              <w:left w:w="85" w:type="dxa"/>
              <w:right w:w="85" w:type="dxa"/>
            </w:tcMar>
            <w:shd w:fill="E8E8E8"/>
          </w:tcPr>
          <w:p>
            <w:pPr>
              <w:spacing w:after="20" w:line="264" w:lineRule="auto"/>
            </w:pPr>
            <w:r>
              <w:rPr>
                <w:b/>
                <w:sz w:val="18"/>
              </w:rPr>
              <w:t>决策对象</w:t>
            </w:r>
          </w:p>
        </w:tc>
        <w:tc>
          <w:tcPr>
            <w:tcW w:type="dxa" w:w="3402"/>
            <w:vAlign w:val="top"/>
            <w:tcMar>
              <w:top w:w="90" w:type="dxa"/>
              <w:bottom w:w="90" w:type="dxa"/>
              <w:left w:w="85" w:type="dxa"/>
              <w:right w:w="85" w:type="dxa"/>
            </w:tcMar>
            <w:shd w:fill="E8E8E8"/>
          </w:tcPr>
          <w:p>
            <w:pPr>
              <w:spacing w:after="20" w:line="264" w:lineRule="auto"/>
            </w:pPr>
            <w:r>
              <w:rPr>
                <w:b/>
                <w:sz w:val="18"/>
              </w:rPr>
              <w:t>本交付裁定</w:t>
            </w:r>
          </w:p>
        </w:tc>
        <w:tc>
          <w:tcPr>
            <w:tcW w:type="dxa" w:w="4252"/>
            <w:vAlign w:val="top"/>
            <w:tcMar>
              <w:top w:w="90" w:type="dxa"/>
              <w:bottom w:w="90" w:type="dxa"/>
              <w:left w:w="85" w:type="dxa"/>
              <w:right w:w="85" w:type="dxa"/>
            </w:tcMar>
            <w:shd w:fill="E8E8E8"/>
          </w:tcPr>
          <w:p>
            <w:pPr>
              <w:spacing w:after="20" w:line="264" w:lineRule="auto"/>
            </w:pPr>
            <w:r>
              <w:rPr>
                <w:b/>
                <w:sz w:val="18"/>
              </w:rPr>
              <w:t>仍需证据</w:t>
            </w:r>
          </w:p>
        </w:tc>
      </w:tr>
      <w:tr>
        <w:trPr>
          <w:cantSplit/>
        </w:trPr>
        <w:tc>
          <w:tcPr>
            <w:tcW w:type="dxa" w:w="1814"/>
            <w:vAlign w:val="top"/>
            <w:tcMar>
              <w:top w:w="90" w:type="dxa"/>
              <w:bottom w:w="90" w:type="dxa"/>
              <w:left w:w="85" w:type="dxa"/>
              <w:right w:w="85" w:type="dxa"/>
            </w:tcMar>
          </w:tcPr>
          <w:p>
            <w:pPr>
              <w:spacing w:after="20" w:line="264" w:lineRule="auto"/>
            </w:pPr>
            <w:r>
              <w:rPr>
                <w:sz w:val="18"/>
              </w:rPr>
              <w:t>继续项目</w:t>
            </w:r>
          </w:p>
        </w:tc>
        <w:tc>
          <w:tcPr>
            <w:tcW w:type="dxa" w:w="3402"/>
            <w:vAlign w:val="top"/>
            <w:tcMar>
              <w:top w:w="90" w:type="dxa"/>
              <w:bottom w:w="90" w:type="dxa"/>
              <w:left w:w="85" w:type="dxa"/>
              <w:right w:w="85" w:type="dxa"/>
            </w:tcMar>
          </w:tcPr>
          <w:p>
            <w:pPr>
              <w:spacing w:after="20" w:line="264" w:lineRule="auto"/>
            </w:pPr>
            <w:r>
              <w:rPr>
                <w:sz w:val="18"/>
              </w:rPr>
              <w:t>有条件继续</w:t>
            </w:r>
          </w:p>
        </w:tc>
        <w:tc>
          <w:tcPr>
            <w:tcW w:type="dxa" w:w="4252"/>
            <w:vAlign w:val="top"/>
            <w:tcMar>
              <w:top w:w="90" w:type="dxa"/>
              <w:bottom w:w="90" w:type="dxa"/>
              <w:left w:w="85" w:type="dxa"/>
              <w:right w:w="85" w:type="dxa"/>
            </w:tcMar>
          </w:tcPr>
          <w:p>
            <w:pPr>
              <w:spacing w:after="20" w:line="264" w:lineRule="auto"/>
            </w:pPr>
            <w:r>
              <w:rPr>
                <w:sz w:val="18"/>
              </w:rPr>
              <w:t>具体文献增量、公平对照与可实现测量</w:t>
            </w:r>
          </w:p>
        </w:tc>
      </w:tr>
      <w:tr>
        <w:trPr>
          <w:cantSplit/>
        </w:trPr>
        <w:tc>
          <w:tcPr>
            <w:tcW w:type="dxa" w:w="1814"/>
            <w:vAlign w:val="top"/>
            <w:tcMar>
              <w:top w:w="90" w:type="dxa"/>
              <w:bottom w:w="90" w:type="dxa"/>
              <w:left w:w="85" w:type="dxa"/>
              <w:right w:w="85" w:type="dxa"/>
            </w:tcMar>
          </w:tcPr>
          <w:p>
            <w:pPr>
              <w:spacing w:after="20" w:line="264" w:lineRule="auto"/>
            </w:pPr>
            <w:r>
              <w:rPr>
                <w:sz w:val="18"/>
              </w:rPr>
              <w:t>主线选择</w:t>
            </w:r>
          </w:p>
        </w:tc>
        <w:tc>
          <w:tcPr>
            <w:tcW w:type="dxa" w:w="3402"/>
            <w:vAlign w:val="top"/>
            <w:tcMar>
              <w:top w:w="90" w:type="dxa"/>
              <w:bottom w:w="90" w:type="dxa"/>
              <w:left w:w="85" w:type="dxa"/>
              <w:right w:w="85" w:type="dxa"/>
            </w:tcMar>
          </w:tcPr>
          <w:p>
            <w:pPr>
              <w:spacing w:after="20" w:line="264" w:lineRule="auto"/>
            </w:pPr>
            <w:r>
              <w:rPr>
                <w:sz w:val="18"/>
              </w:rPr>
              <w:t>情绪增量比较与设计边界</w:t>
            </w:r>
          </w:p>
        </w:tc>
        <w:tc>
          <w:tcPr>
            <w:tcW w:type="dxa" w:w="4252"/>
            <w:vAlign w:val="top"/>
            <w:tcMar>
              <w:top w:w="90" w:type="dxa"/>
              <w:bottom w:w="90" w:type="dxa"/>
              <w:left w:w="85" w:type="dxa"/>
              <w:right w:w="85" w:type="dxa"/>
            </w:tcMar>
          </w:tcPr>
          <w:p>
            <w:pPr>
              <w:spacing w:after="20" w:line="264" w:lineRule="auto"/>
            </w:pPr>
            <w:r>
              <w:rPr>
                <w:sz w:val="18"/>
              </w:rPr>
              <w:t>不预定正向结果，不把原生等同隐藏</w:t>
            </w:r>
          </w:p>
        </w:tc>
      </w:tr>
      <w:tr>
        <w:trPr>
          <w:cantSplit/>
        </w:trPr>
        <w:tc>
          <w:tcPr>
            <w:tcW w:type="dxa" w:w="1814"/>
            <w:vAlign w:val="top"/>
            <w:tcMar>
              <w:top w:w="90" w:type="dxa"/>
              <w:bottom w:w="90" w:type="dxa"/>
              <w:left w:w="85" w:type="dxa"/>
              <w:right w:w="85" w:type="dxa"/>
            </w:tcMar>
          </w:tcPr>
          <w:p>
            <w:pPr>
              <w:spacing w:after="20" w:line="264" w:lineRule="auto"/>
            </w:pPr>
            <w:r>
              <w:rPr>
                <w:sz w:val="18"/>
              </w:rPr>
              <w:t>工程与资料准备</w:t>
            </w:r>
          </w:p>
        </w:tc>
        <w:tc>
          <w:tcPr>
            <w:tcW w:type="dxa" w:w="3402"/>
            <w:vAlign w:val="top"/>
            <w:tcMar>
              <w:top w:w="90" w:type="dxa"/>
              <w:bottom w:w="90" w:type="dxa"/>
              <w:left w:w="85" w:type="dxa"/>
              <w:right w:w="85" w:type="dxa"/>
            </w:tcMar>
          </w:tcPr>
          <w:p>
            <w:pPr>
              <w:spacing w:after="20" w:line="264" w:lineRule="auto"/>
            </w:pPr>
            <w:r>
              <w:rPr>
                <w:sz w:val="18"/>
              </w:rPr>
              <w:t>可按本包继续</w:t>
            </w:r>
          </w:p>
        </w:tc>
        <w:tc>
          <w:tcPr>
            <w:tcW w:type="dxa" w:w="4252"/>
            <w:vAlign w:val="top"/>
            <w:tcMar>
              <w:top w:w="90" w:type="dxa"/>
              <w:bottom w:w="90" w:type="dxa"/>
              <w:left w:w="85" w:type="dxa"/>
              <w:right w:w="85" w:type="dxa"/>
            </w:tcMar>
          </w:tcPr>
          <w:p>
            <w:pPr>
              <w:spacing w:after="20" w:line="264" w:lineRule="auto"/>
            </w:pPr>
            <w:r>
              <w:rPr>
                <w:sz w:val="18"/>
              </w:rPr>
              <w:t>真实批准范围外不开展参与者活动</w:t>
            </w:r>
          </w:p>
        </w:tc>
      </w:tr>
      <w:tr>
        <w:trPr>
          <w:cantSplit/>
        </w:trPr>
        <w:tc>
          <w:tcPr>
            <w:tcW w:type="dxa" w:w="1814"/>
            <w:vAlign w:val="top"/>
            <w:tcMar>
              <w:top w:w="90" w:type="dxa"/>
              <w:bottom w:w="90" w:type="dxa"/>
              <w:left w:w="85" w:type="dxa"/>
              <w:right w:w="85" w:type="dxa"/>
            </w:tcMar>
          </w:tcPr>
          <w:p>
            <w:pPr>
              <w:spacing w:after="20" w:line="264" w:lineRule="auto"/>
            </w:pPr>
            <w:r>
              <w:rPr>
                <w:sz w:val="18"/>
              </w:rPr>
              <w:t>正式研究</w:t>
            </w:r>
          </w:p>
        </w:tc>
        <w:tc>
          <w:tcPr>
            <w:tcW w:type="dxa" w:w="3402"/>
            <w:vAlign w:val="top"/>
            <w:tcMar>
              <w:top w:w="90" w:type="dxa"/>
              <w:bottom w:w="90" w:type="dxa"/>
              <w:left w:w="85" w:type="dxa"/>
              <w:right w:w="85" w:type="dxa"/>
            </w:tcMar>
          </w:tcPr>
          <w:p>
            <w:pPr>
              <w:spacing w:after="20" w:line="264" w:lineRule="auto"/>
            </w:pPr>
            <w:r>
              <w:rPr>
                <w:sz w:val="18"/>
              </w:rPr>
              <w:t>尚不放行</w:t>
            </w:r>
          </w:p>
        </w:tc>
        <w:tc>
          <w:tcPr>
            <w:tcW w:type="dxa" w:w="4252"/>
            <w:vAlign w:val="top"/>
            <w:tcMar>
              <w:top w:w="90" w:type="dxa"/>
              <w:bottom w:w="90" w:type="dxa"/>
              <w:left w:w="85" w:type="dxa"/>
              <w:right w:w="85" w:type="dxa"/>
            </w:tcMar>
          </w:tcPr>
          <w:p>
            <w:pPr>
              <w:spacing w:after="20" w:line="264" w:lineRule="auto"/>
            </w:pPr>
            <w:r>
              <w:rPr>
                <w:sz w:val="18"/>
              </w:rPr>
              <w:t>真实外部准入、LIVE_E2E、工具、界值、N、SAP、运行入口接线</w:t>
            </w:r>
          </w:p>
        </w:tc>
      </w:tr>
      <w:tr>
        <w:trPr>
          <w:cantSplit/>
        </w:trPr>
        <w:tc>
          <w:tcPr>
            <w:tcW w:type="dxa" w:w="1814"/>
            <w:vAlign w:val="top"/>
            <w:tcMar>
              <w:top w:w="90" w:type="dxa"/>
              <w:bottom w:w="90" w:type="dxa"/>
              <w:left w:w="85" w:type="dxa"/>
              <w:right w:w="85" w:type="dxa"/>
            </w:tcMar>
          </w:tcPr>
          <w:p>
            <w:pPr>
              <w:spacing w:after="20" w:line="264" w:lineRule="auto"/>
            </w:pPr>
            <w:r>
              <w:rPr>
                <w:sz w:val="18"/>
              </w:rPr>
              <w:t>核心论文收尾</w:t>
            </w:r>
          </w:p>
        </w:tc>
        <w:tc>
          <w:tcPr>
            <w:tcW w:type="dxa" w:w="3402"/>
            <w:vAlign w:val="top"/>
            <w:tcMar>
              <w:top w:w="90" w:type="dxa"/>
              <w:bottom w:w="90" w:type="dxa"/>
              <w:left w:w="85" w:type="dxa"/>
              <w:right w:w="85" w:type="dxa"/>
            </w:tcMar>
          </w:tcPr>
          <w:p>
            <w:pPr>
              <w:spacing w:after="20" w:line="264" w:lineRule="auto"/>
            </w:pPr>
            <w:r>
              <w:rPr>
                <w:sz w:val="18"/>
              </w:rPr>
              <w:t>独立于阶段三</w:t>
            </w:r>
          </w:p>
        </w:tc>
        <w:tc>
          <w:tcPr>
            <w:tcW w:type="dxa" w:w="4252"/>
            <w:vAlign w:val="top"/>
            <w:tcMar>
              <w:top w:w="90" w:type="dxa"/>
              <w:bottom w:w="90" w:type="dxa"/>
              <w:left w:w="85" w:type="dxa"/>
              <w:right w:w="85" w:type="dxa"/>
            </w:tcMar>
          </w:tcPr>
          <w:p>
            <w:pPr>
              <w:spacing w:after="20" w:line="264" w:lineRule="auto"/>
            </w:pPr>
            <w:r>
              <w:rPr>
                <w:sz w:val="18"/>
              </w:rPr>
              <w:t>阶段一有效证据及完整报告；反向和不确定均不被隐藏</w:t>
            </w:r>
          </w:p>
        </w:tc>
      </w:tr>
      <w:tr>
        <w:trPr>
          <w:cantSplit/>
        </w:trPr>
        <w:tc>
          <w:tcPr>
            <w:tcW w:type="dxa" w:w="1814"/>
            <w:vAlign w:val="top"/>
            <w:tcMar>
              <w:top w:w="90" w:type="dxa"/>
              <w:bottom w:w="90" w:type="dxa"/>
              <w:left w:w="85" w:type="dxa"/>
              <w:right w:w="85" w:type="dxa"/>
            </w:tcMar>
          </w:tcPr>
          <w:p>
            <w:pPr>
              <w:spacing w:after="20" w:line="264" w:lineRule="auto"/>
            </w:pPr>
            <w:r>
              <w:rPr>
                <w:sz w:val="18"/>
              </w:rPr>
              <w:t>当前即投稿已完成的实证论文</w:t>
            </w:r>
          </w:p>
        </w:tc>
        <w:tc>
          <w:tcPr>
            <w:tcW w:type="dxa" w:w="3402"/>
            <w:vAlign w:val="top"/>
            <w:tcMar>
              <w:top w:w="90" w:type="dxa"/>
              <w:bottom w:w="90" w:type="dxa"/>
              <w:left w:w="85" w:type="dxa"/>
              <w:right w:w="85" w:type="dxa"/>
            </w:tcMar>
          </w:tcPr>
          <w:p>
            <w:pPr>
              <w:spacing w:after="20" w:line="264" w:lineRule="auto"/>
            </w:pPr>
            <w:r>
              <w:rPr>
                <w:sz w:val="18"/>
              </w:rPr>
              <w:t>不成立</w:t>
            </w:r>
          </w:p>
        </w:tc>
        <w:tc>
          <w:tcPr>
            <w:tcW w:type="dxa" w:w="4252"/>
            <w:vAlign w:val="top"/>
            <w:tcMar>
              <w:top w:w="90" w:type="dxa"/>
              <w:bottom w:w="90" w:type="dxa"/>
              <w:left w:w="85" w:type="dxa"/>
              <w:right w:w="85" w:type="dxa"/>
            </w:tcMar>
          </w:tcPr>
          <w:p>
            <w:pPr>
              <w:spacing w:after="20" w:line="264" w:lineRule="auto"/>
            </w:pPr>
            <w:r>
              <w:rPr>
                <w:sz w:val="18"/>
              </w:rPr>
              <w:t>本包没有产生真实结果，也不证明录用可行性已关闭</w:t>
            </w:r>
          </w:p>
        </w:tc>
      </w:tr>
    </w:tbl>
    <w:p>
      <w:pPr>
        <w:spacing w:after="20"/>
      </w:pPr>
    </w:p>
    <w:p>
      <w:r>
        <w:t>“最终”是本次三轮讨论的交付版本，不是把所有待定统计数值、团队能力和机构许可替你签署。新协议以未注册、实证未观察状态交付；空模板不能变成批准。</w:t>
      </w:r>
    </w:p>
    <w:p>
      <w:pPr>
        <w:pStyle w:val="Heading1"/>
      </w:pPr>
      <w:r>
        <w:t>2. 三轮讨论的覆盖关系</w:t>
      </w:r>
    </w:p>
    <w:p>
      <w:r>
        <w:t>第一轮从立项、执行、统计、治理、收尾和投稿攻击仓库，发现主张与测量分辨率不同、扩展阻断核心稿、样本锚点缺乏新功效支撑等问题；提出以可辨识设计知识为主要修复路线。[C1,P0]</w:t>
      </w:r>
    </w:p>
    <w:p>
      <w:r>
        <w:t>第二轮纠正过度收束：只有“能看懂且执行没有明显损失”不够回答用户希望的情绪收益。主问题重新回到原生提示相对合理基准的短时增量；四层设计和执行成为支撑，而非替代人的目标。[C2]</w:t>
      </w:r>
    </w:p>
    <w:p>
      <w:r>
        <w:t>第三轮明确方向中立：可靠的反向结果可以是核心发现，但未显著、实际等效、反向优势与研究效度受损不同；原生性不能被事后改写成隐藏性。[C3]</w:t>
      </w:r>
    </w:p>
    <w:tbl>
      <w:tblPr>
        <w:tblW w:type="auto" w:w="0"/>
        <w:jc w:val="center"/>
        <w:tblLayout w:type="fixed"/>
        <w:tblLook w:firstColumn="1" w:firstRow="1" w:lastColumn="0" w:lastRow="0" w:noHBand="0" w:noVBand="1" w:val="04A0"/>
        <w:tblBorders>
          <w:top w:val="single" w:sz="4" w:color="B5B5B5"/>
          <w:bottom w:val="single" w:sz="4" w:color="B5B5B5"/>
          <w:insideH w:val="single" w:sz="4" w:color="B5B5B5"/>
        </w:tblBorders>
      </w:tblPr>
      <w:tblGrid>
        <w:gridCol w:w="3156"/>
        <w:gridCol w:w="3156"/>
        <w:gridCol w:w="3156"/>
      </w:tblGrid>
      <w:tr>
        <w:trPr>
          <w:cantSplit/>
          <w:tblHeader/>
        </w:trPr>
        <w:tc>
          <w:tcPr>
            <w:tcW w:type="dxa" w:w="1814"/>
            <w:vAlign w:val="top"/>
            <w:tcMar>
              <w:top w:w="90" w:type="dxa"/>
              <w:bottom w:w="90" w:type="dxa"/>
              <w:left w:w="85" w:type="dxa"/>
              <w:right w:w="85" w:type="dxa"/>
            </w:tcMar>
            <w:shd w:fill="E8E8E8"/>
          </w:tcPr>
          <w:p>
            <w:pPr>
              <w:spacing w:after="20" w:line="264" w:lineRule="auto"/>
            </w:pPr>
            <w:r>
              <w:rPr>
                <w:b/>
                <w:sz w:val="18"/>
              </w:rPr>
              <w:t>议题</w:t>
            </w:r>
          </w:p>
        </w:tc>
        <w:tc>
          <w:tcPr>
            <w:tcW w:type="dxa" w:w="3402"/>
            <w:vAlign w:val="top"/>
            <w:tcMar>
              <w:top w:w="90" w:type="dxa"/>
              <w:bottom w:w="90" w:type="dxa"/>
              <w:left w:w="85" w:type="dxa"/>
              <w:right w:w="85" w:type="dxa"/>
            </w:tcMar>
            <w:shd w:fill="E8E8E8"/>
          </w:tcPr>
          <w:p>
            <w:pPr>
              <w:spacing w:after="20" w:line="264" w:lineRule="auto"/>
            </w:pPr>
            <w:r>
              <w:rPr>
                <w:b/>
                <w:sz w:val="18"/>
              </w:rPr>
              <w:t>最终处理</w:t>
            </w:r>
          </w:p>
        </w:tc>
        <w:tc>
          <w:tcPr>
            <w:tcW w:type="dxa" w:w="4252"/>
            <w:vAlign w:val="top"/>
            <w:tcMar>
              <w:top w:w="90" w:type="dxa"/>
              <w:bottom w:w="90" w:type="dxa"/>
              <w:left w:w="85" w:type="dxa"/>
              <w:right w:w="85" w:type="dxa"/>
            </w:tcMar>
            <w:shd w:fill="E8E8E8"/>
          </w:tcPr>
          <w:p>
            <w:pPr>
              <w:spacing w:after="20" w:line="264" w:lineRule="auto"/>
            </w:pPr>
            <w:r>
              <w:rPr>
                <w:b/>
                <w:sz w:val="18"/>
              </w:rPr>
              <w:t>来源性质</w:t>
            </w:r>
          </w:p>
        </w:tc>
      </w:tr>
      <w:tr>
        <w:trPr>
          <w:cantSplit/>
        </w:trPr>
        <w:tc>
          <w:tcPr>
            <w:tcW w:type="dxa" w:w="1814"/>
            <w:vAlign w:val="top"/>
            <w:tcMar>
              <w:top w:w="90" w:type="dxa"/>
              <w:bottom w:w="90" w:type="dxa"/>
              <w:left w:w="85" w:type="dxa"/>
              <w:right w:w="85" w:type="dxa"/>
            </w:tcMar>
          </w:tcPr>
          <w:p>
            <w:pPr>
              <w:spacing w:after="20" w:line="264" w:lineRule="auto"/>
            </w:pPr>
            <w:r>
              <w:rPr>
                <w:sz w:val="18"/>
              </w:rPr>
              <w:t>人的目标</w:t>
            </w:r>
          </w:p>
        </w:tc>
        <w:tc>
          <w:tcPr>
            <w:tcW w:type="dxa" w:w="3402"/>
            <w:vAlign w:val="top"/>
            <w:tcMar>
              <w:top w:w="90" w:type="dxa"/>
              <w:bottom w:w="90" w:type="dxa"/>
              <w:left w:w="85" w:type="dxa"/>
              <w:right w:w="85" w:type="dxa"/>
            </w:tcMar>
          </w:tcPr>
          <w:p>
            <w:pPr>
              <w:spacing w:after="20" w:line="264" w:lineRule="auto"/>
            </w:pPr>
            <w:r>
              <w:rPr>
                <w:sz w:val="18"/>
              </w:rPr>
              <w:t>短时状态性负性情绪调节</w:t>
            </w:r>
          </w:p>
        </w:tc>
        <w:tc>
          <w:tcPr>
            <w:tcW w:type="dxa" w:w="4252"/>
            <w:vAlign w:val="top"/>
            <w:tcMar>
              <w:top w:w="90" w:type="dxa"/>
              <w:bottom w:w="90" w:type="dxa"/>
              <w:left w:w="85" w:type="dxa"/>
              <w:right w:w="85" w:type="dxa"/>
            </w:tcMar>
          </w:tcPr>
          <w:p>
            <w:pPr>
              <w:spacing w:after="20" w:line="264" w:lineRule="auto"/>
            </w:pPr>
            <w:r>
              <w:rPr>
                <w:sz w:val="18"/>
              </w:rPr>
              <w:t>三轮主线整合；与历史PANAS分工一致</w:t>
            </w:r>
          </w:p>
        </w:tc>
      </w:tr>
      <w:tr>
        <w:trPr>
          <w:cantSplit/>
        </w:trPr>
        <w:tc>
          <w:tcPr>
            <w:tcW w:type="dxa" w:w="1814"/>
            <w:vAlign w:val="top"/>
            <w:tcMar>
              <w:top w:w="90" w:type="dxa"/>
              <w:bottom w:w="90" w:type="dxa"/>
              <w:left w:w="85" w:type="dxa"/>
              <w:right w:w="85" w:type="dxa"/>
            </w:tcMar>
          </w:tcPr>
          <w:p>
            <w:pPr>
              <w:spacing w:after="20" w:line="264" w:lineRule="auto"/>
            </w:pPr>
            <w:r>
              <w:rPr>
                <w:sz w:val="18"/>
              </w:rPr>
              <w:t>主要处理</w:t>
            </w:r>
          </w:p>
        </w:tc>
        <w:tc>
          <w:tcPr>
            <w:tcW w:type="dxa" w:w="3402"/>
            <w:vAlign w:val="top"/>
            <w:tcMar>
              <w:top w:w="90" w:type="dxa"/>
              <w:bottom w:w="90" w:type="dxa"/>
              <w:left w:w="85" w:type="dxa"/>
              <w:right w:w="85" w:type="dxa"/>
            </w:tcMar>
          </w:tcPr>
          <w:p>
            <w:pPr>
              <w:spacing w:after="20" w:line="264" w:lineRule="auto"/>
            </w:pPr>
            <w:r>
              <w:rPr>
                <w:sz w:val="18"/>
              </w:rPr>
              <w:t>scene_native与abstract_pacer完整方案</w:t>
            </w:r>
          </w:p>
        </w:tc>
        <w:tc>
          <w:tcPr>
            <w:tcW w:type="dxa" w:w="4252"/>
            <w:vAlign w:val="top"/>
            <w:tcMar>
              <w:top w:w="90" w:type="dxa"/>
              <w:bottom w:w="90" w:type="dxa"/>
              <w:left w:w="85" w:type="dxa"/>
              <w:right w:w="85" w:type="dxa"/>
            </w:tcMar>
          </w:tcPr>
          <w:p>
            <w:pPr>
              <w:spacing w:after="20" w:line="264" w:lineRule="auto"/>
            </w:pPr>
            <w:r>
              <w:rPr>
                <w:sz w:val="18"/>
              </w:rPr>
              <w:t>继承当前v1.1，不改成单一视觉机制</w:t>
            </w:r>
          </w:p>
        </w:tc>
      </w:tr>
      <w:tr>
        <w:trPr>
          <w:cantSplit/>
        </w:trPr>
        <w:tc>
          <w:tcPr>
            <w:tcW w:type="dxa" w:w="1814"/>
            <w:vAlign w:val="top"/>
            <w:tcMar>
              <w:top w:w="90" w:type="dxa"/>
              <w:bottom w:w="90" w:type="dxa"/>
              <w:left w:w="85" w:type="dxa"/>
              <w:right w:w="85" w:type="dxa"/>
            </w:tcMar>
          </w:tcPr>
          <w:p>
            <w:pPr>
              <w:spacing w:after="20" w:line="264" w:lineRule="auto"/>
            </w:pPr>
            <w:r>
              <w:rPr>
                <w:sz w:val="18"/>
              </w:rPr>
              <w:t>成功定义</w:t>
            </w:r>
          </w:p>
        </w:tc>
        <w:tc>
          <w:tcPr>
            <w:tcW w:type="dxa" w:w="3402"/>
            <w:vAlign w:val="top"/>
            <w:tcMar>
              <w:top w:w="90" w:type="dxa"/>
              <w:bottom w:w="90" w:type="dxa"/>
              <w:left w:w="85" w:type="dxa"/>
              <w:right w:w="85" w:type="dxa"/>
            </w:tcMar>
          </w:tcPr>
          <w:p>
            <w:pPr>
              <w:spacing w:after="20" w:line="264" w:lineRule="auto"/>
            </w:pPr>
            <w:r>
              <w:rPr>
                <w:sz w:val="18"/>
              </w:rPr>
              <w:t>精确、可靠、可解释的比较证据</w:t>
            </w:r>
          </w:p>
        </w:tc>
        <w:tc>
          <w:tcPr>
            <w:tcW w:type="dxa" w:w="4252"/>
            <w:vAlign w:val="top"/>
            <w:tcMar>
              <w:top w:w="90" w:type="dxa"/>
              <w:bottom w:w="90" w:type="dxa"/>
              <w:left w:w="85" w:type="dxa"/>
              <w:right w:w="85" w:type="dxa"/>
            </w:tcMar>
          </w:tcPr>
          <w:p>
            <w:pPr>
              <w:spacing w:after="20" w:line="264" w:lineRule="auto"/>
            </w:pPr>
            <w:r>
              <w:rPr>
                <w:sz w:val="18"/>
              </w:rPr>
              <w:t>第三轮落实，不保证每种失败均可发论文</w:t>
            </w:r>
          </w:p>
        </w:tc>
      </w:tr>
      <w:tr>
        <w:trPr>
          <w:cantSplit/>
        </w:trPr>
        <w:tc>
          <w:tcPr>
            <w:tcW w:type="dxa" w:w="1814"/>
            <w:vAlign w:val="top"/>
            <w:tcMar>
              <w:top w:w="90" w:type="dxa"/>
              <w:bottom w:w="90" w:type="dxa"/>
              <w:left w:w="85" w:type="dxa"/>
              <w:right w:w="85" w:type="dxa"/>
            </w:tcMar>
          </w:tcPr>
          <w:p>
            <w:pPr>
              <w:spacing w:after="20" w:line="264" w:lineRule="auto"/>
            </w:pPr>
            <w:r>
              <w:rPr>
                <w:sz w:val="18"/>
              </w:rPr>
              <w:t>原生/显式</w:t>
            </w:r>
          </w:p>
        </w:tc>
        <w:tc>
          <w:tcPr>
            <w:tcW w:type="dxa" w:w="3402"/>
            <w:vAlign w:val="top"/>
            <w:tcMar>
              <w:top w:w="90" w:type="dxa"/>
              <w:bottom w:w="90" w:type="dxa"/>
              <w:left w:w="85" w:type="dxa"/>
              <w:right w:w="85" w:type="dxa"/>
            </w:tcMar>
          </w:tcPr>
          <w:p>
            <w:pPr>
              <w:spacing w:after="20" w:line="264" w:lineRule="auto"/>
            </w:pPr>
            <w:r>
              <w:rPr>
                <w:sz w:val="18"/>
              </w:rPr>
              <w:t>两个不同维度</w:t>
            </w:r>
          </w:p>
        </w:tc>
        <w:tc>
          <w:tcPr>
            <w:tcW w:type="dxa" w:w="4252"/>
            <w:vAlign w:val="top"/>
            <w:tcMar>
              <w:top w:w="90" w:type="dxa"/>
              <w:bottom w:w="90" w:type="dxa"/>
              <w:left w:w="85" w:type="dxa"/>
              <w:right w:w="85" w:type="dxa"/>
            </w:tcMar>
          </w:tcPr>
          <w:p>
            <w:pPr>
              <w:spacing w:after="20" w:line="264" w:lineRule="auto"/>
            </w:pPr>
            <w:r>
              <w:rPr>
                <w:sz w:val="18"/>
              </w:rPr>
              <w:t>不增加未讨论的大型析因实验</w:t>
            </w:r>
          </w:p>
        </w:tc>
      </w:tr>
      <w:tr>
        <w:trPr>
          <w:cantSplit/>
        </w:trPr>
        <w:tc>
          <w:tcPr>
            <w:tcW w:type="dxa" w:w="1814"/>
            <w:vAlign w:val="top"/>
            <w:tcMar>
              <w:top w:w="90" w:type="dxa"/>
              <w:bottom w:w="90" w:type="dxa"/>
              <w:left w:w="85" w:type="dxa"/>
              <w:right w:w="85" w:type="dxa"/>
            </w:tcMar>
          </w:tcPr>
          <w:p>
            <w:pPr>
              <w:spacing w:after="20" w:line="264" w:lineRule="auto"/>
            </w:pPr>
            <w:r>
              <w:rPr>
                <w:sz w:val="18"/>
              </w:rPr>
              <w:t>四层表示</w:t>
            </w:r>
          </w:p>
        </w:tc>
        <w:tc>
          <w:tcPr>
            <w:tcW w:type="dxa" w:w="3402"/>
            <w:vAlign w:val="top"/>
            <w:tcMar>
              <w:top w:w="90" w:type="dxa"/>
              <w:bottom w:w="90" w:type="dxa"/>
              <w:left w:w="85" w:type="dxa"/>
              <w:right w:w="85" w:type="dxa"/>
            </w:tcMar>
          </w:tcPr>
          <w:p>
            <w:pPr>
              <w:spacing w:after="20" w:line="264" w:lineRule="auto"/>
            </w:pPr>
            <w:r>
              <w:rPr>
                <w:sz w:val="18"/>
              </w:rPr>
              <w:t>方法、功能与设计知识</w:t>
            </w:r>
          </w:p>
        </w:tc>
        <w:tc>
          <w:tcPr>
            <w:tcW w:type="dxa" w:w="4252"/>
            <w:vAlign w:val="top"/>
            <w:tcMar>
              <w:top w:w="90" w:type="dxa"/>
              <w:bottom w:w="90" w:type="dxa"/>
              <w:left w:w="85" w:type="dxa"/>
              <w:right w:w="85" w:type="dxa"/>
            </w:tcMar>
          </w:tcPr>
          <w:p>
            <w:pPr>
              <w:spacing w:after="20" w:line="264" w:lineRule="auto"/>
            </w:pPr>
            <w:r>
              <w:rPr>
                <w:sz w:val="18"/>
              </w:rPr>
              <w:t>保留，不再单独顶替情绪价值</w:t>
            </w:r>
          </w:p>
        </w:tc>
      </w:tr>
      <w:tr>
        <w:trPr>
          <w:cantSplit/>
        </w:trPr>
        <w:tc>
          <w:tcPr>
            <w:tcW w:type="dxa" w:w="1814"/>
            <w:vAlign w:val="top"/>
            <w:tcMar>
              <w:top w:w="90" w:type="dxa"/>
              <w:bottom w:w="90" w:type="dxa"/>
              <w:left w:w="85" w:type="dxa"/>
              <w:right w:w="85" w:type="dxa"/>
            </w:tcMar>
          </w:tcPr>
          <w:p>
            <w:pPr>
              <w:spacing w:after="20" w:line="264" w:lineRule="auto"/>
            </w:pPr>
            <w:r>
              <w:rPr>
                <w:sz w:val="18"/>
              </w:rPr>
              <w:t>策略编排</w:t>
            </w:r>
          </w:p>
        </w:tc>
        <w:tc>
          <w:tcPr>
            <w:tcW w:type="dxa" w:w="3402"/>
            <w:vAlign w:val="top"/>
            <w:tcMar>
              <w:top w:w="90" w:type="dxa"/>
              <w:bottom w:w="90" w:type="dxa"/>
              <w:left w:w="85" w:type="dxa"/>
              <w:right w:w="85" w:type="dxa"/>
            </w:tcMar>
          </w:tcPr>
          <w:p>
            <w:pPr>
              <w:spacing w:after="20" w:line="264" w:lineRule="auto"/>
            </w:pPr>
            <w:r>
              <w:rPr>
                <w:sz w:val="18"/>
              </w:rPr>
              <w:t>可选，单独证据与披露</w:t>
            </w:r>
          </w:p>
        </w:tc>
        <w:tc>
          <w:tcPr>
            <w:tcW w:type="dxa" w:w="4252"/>
            <w:vAlign w:val="top"/>
            <w:tcMar>
              <w:top w:w="90" w:type="dxa"/>
              <w:bottom w:w="90" w:type="dxa"/>
              <w:left w:w="85" w:type="dxa"/>
              <w:right w:w="85" w:type="dxa"/>
            </w:tcMar>
          </w:tcPr>
          <w:p>
            <w:pPr>
              <w:spacing w:after="20" w:line="264" w:lineRule="auto"/>
            </w:pPr>
            <w:r>
              <w:rPr>
                <w:sz w:val="18"/>
              </w:rPr>
              <w:t>延续第一轮依赖修复</w:t>
            </w:r>
          </w:p>
        </w:tc>
      </w:tr>
      <w:tr>
        <w:trPr>
          <w:cantSplit/>
        </w:trPr>
        <w:tc>
          <w:tcPr>
            <w:tcW w:type="dxa" w:w="1814"/>
            <w:vAlign w:val="top"/>
            <w:tcMar>
              <w:top w:w="90" w:type="dxa"/>
              <w:bottom w:w="90" w:type="dxa"/>
              <w:left w:w="85" w:type="dxa"/>
              <w:right w:w="85" w:type="dxa"/>
            </w:tcMar>
          </w:tcPr>
          <w:p>
            <w:pPr>
              <w:spacing w:after="20" w:line="264" w:lineRule="auto"/>
            </w:pPr>
            <w:r>
              <w:rPr>
                <w:sz w:val="18"/>
              </w:rPr>
              <w:t>等效</w:t>
            </w:r>
          </w:p>
        </w:tc>
        <w:tc>
          <w:tcPr>
            <w:tcW w:type="dxa" w:w="3402"/>
            <w:vAlign w:val="top"/>
            <w:tcMar>
              <w:top w:w="90" w:type="dxa"/>
              <w:bottom w:w="90" w:type="dxa"/>
              <w:left w:w="85" w:type="dxa"/>
              <w:right w:w="85" w:type="dxa"/>
            </w:tcMar>
          </w:tcPr>
          <w:p>
            <w:pPr>
              <w:spacing w:after="20" w:line="264" w:lineRule="auto"/>
            </w:pPr>
            <w:r>
              <w:rPr>
                <w:sz w:val="18"/>
              </w:rPr>
              <w:t>默认不启用确认性等效</w:t>
            </w:r>
          </w:p>
        </w:tc>
        <w:tc>
          <w:tcPr>
            <w:tcW w:type="dxa" w:w="4252"/>
            <w:vAlign w:val="top"/>
            <w:tcMar>
              <w:top w:w="90" w:type="dxa"/>
              <w:bottom w:w="90" w:type="dxa"/>
              <w:left w:w="85" w:type="dxa"/>
              <w:right w:w="85" w:type="dxa"/>
            </w:tcMar>
          </w:tcPr>
          <w:p>
            <w:pPr>
              <w:spacing w:after="20" w:line="264" w:lineRule="auto"/>
            </w:pPr>
            <w:r>
              <w:rPr>
                <w:sz w:val="18"/>
              </w:rPr>
              <w:t>本包操作化；界限、方法和多重声明须事前另冻</w:t>
            </w:r>
          </w:p>
        </w:tc>
      </w:tr>
      <w:tr>
        <w:trPr>
          <w:cantSplit/>
        </w:trPr>
        <w:tc>
          <w:tcPr>
            <w:tcW w:type="dxa" w:w="1814"/>
            <w:vAlign w:val="top"/>
            <w:tcMar>
              <w:top w:w="90" w:type="dxa"/>
              <w:bottom w:w="90" w:type="dxa"/>
              <w:left w:w="85" w:type="dxa"/>
              <w:right w:w="85" w:type="dxa"/>
            </w:tcMar>
          </w:tcPr>
          <w:p>
            <w:pPr>
              <w:spacing w:after="20" w:line="264" w:lineRule="auto"/>
            </w:pPr>
            <w:r>
              <w:rPr>
                <w:sz w:val="18"/>
              </w:rPr>
              <w:t>主要统计细节</w:t>
            </w:r>
          </w:p>
        </w:tc>
        <w:tc>
          <w:tcPr>
            <w:tcW w:type="dxa" w:w="3402"/>
            <w:vAlign w:val="top"/>
            <w:tcMar>
              <w:top w:w="90" w:type="dxa"/>
              <w:bottom w:w="90" w:type="dxa"/>
              <w:left w:w="85" w:type="dxa"/>
              <w:right w:w="85" w:type="dxa"/>
            </w:tcMar>
          </w:tcPr>
          <w:p>
            <w:pPr>
              <w:spacing w:after="20" w:line="264" w:lineRule="auto"/>
            </w:pPr>
            <w:r>
              <w:rPr>
                <w:sz w:val="18"/>
              </w:rPr>
              <w:t>双侧ANCOVA/HC3候选</w:t>
            </w:r>
          </w:p>
        </w:tc>
        <w:tc>
          <w:tcPr>
            <w:tcW w:type="dxa" w:w="4252"/>
            <w:vAlign w:val="top"/>
            <w:tcMar>
              <w:top w:w="90" w:type="dxa"/>
              <w:bottom w:w="90" w:type="dxa"/>
              <w:left w:w="85" w:type="dxa"/>
              <w:right w:w="85" w:type="dxa"/>
            </w:tcMar>
          </w:tcPr>
          <w:p>
            <w:pPr>
              <w:spacing w:after="20" w:line="264" w:lineRule="auto"/>
            </w:pPr>
            <w:r>
              <w:rPr>
                <w:sz w:val="18"/>
              </w:rPr>
              <w:t>继承方法并适配新问题；仍待预注册验证</w:t>
            </w:r>
          </w:p>
        </w:tc>
      </w:tr>
    </w:tbl>
    <w:p>
      <w:pPr>
        <w:spacing w:after="20"/>
      </w:pPr>
    </w:p>
    <w:p>
      <w:r>
        <w:t>8月4日附件属于决策历史。当时的480秒、15/90/15秒与早期顺序主线不能覆盖当前仓库800秒和本次v1.2新研究主线。历史文件完整保留，不回写删除其原貌。[H1,H2,R2]</w:t>
      </w:r>
    </w:p>
    <w:p>
      <w:pPr>
        <w:pStyle w:val="Heading1"/>
      </w:pPr>
      <w:r>
        <w:t>3. 当前证据与本次工作边界</w:t>
      </w:r>
    </w:p>
    <w:p>
      <w:r>
        <w:t>本次重新核验了分支快照、v1.1机器权威、当前任务表关键尾段、README和F-05 v2.2接口基线。完整58节点依赖图由同一快照的既有读取整理，明确标记为语义提取，不冒充下载的完整原始CSV。[R1–R5]</w:t>
      </w:r>
    </w:p>
    <w:p>
      <w:r>
        <w:t>容器没有取得可直接落盘的完整远端工作树。因此交付采用“新增文件overlay＋按任务ID精确变更＋用户本地源blob核验”，而不是声称已经在真实仓库应用补丁。迁移工具只对核对过的源版本工作，遇到HEAD、源blob、工作区或依赖漂移即拒绝。</w:t>
      </w:r>
    </w:p>
    <w:p>
      <w:r>
        <w:t>本次实际可验证的是包内JSON与图、分类器反例、规划算术、源文件校验、合成迁移与回滚边界。没有运行原仓库全部pytest，没有重建Unity/TD二进制，没有设备或机构现场核验。详细测试数与结果以实际生成的validation_results.json为准。</w:t>
      </w:r>
    </w:p>
    <w:p>
      <w:pPr>
        <w:pStyle w:val="Heading1"/>
      </w:pPr>
      <w:r>
        <w:t>4. 核心攻击及最终修复</w:t>
      </w:r>
    </w:p>
    <w:p>
      <w:pPr>
        <w:pStyle w:val="Heading2"/>
      </w:pPr>
      <w:r>
        <w:t>A01：主张被功能底线替代【Major｜逻辑问题】</w:t>
      </w:r>
    </w:p>
    <w:p>
      <w:r>
        <w:t>攻击：SCCI只说明融合被感知，理解与努力非劣只能说明损失未超过界限，不能自动证明短时情绪价值。</w:t>
      </w:r>
    </w:p>
    <w:p>
      <w:r>
        <w:t>修复：阶段一PANAS负性情绪差异作为主要结果；SCCI只为操纵，PF为独立护栏。以人的收益、代价与适用边界组织论文，而不是把“有一个框架”当作结果。</w:t>
      </w:r>
    </w:p>
    <w:p>
      <w:r>
        <w:t>再攻击：这样是否退回普通“系统有效性”展示？若只看前后变化，会。最终方案保留同场景的合理对照、完整方案处理定义、可追踪设计规则与过程解释，比较明确设计选择而非笼统软件效果。[C1–C3]</w:t>
      </w:r>
    </w:p>
    <w:p>
      <w:pPr>
        <w:pStyle w:val="Heading2"/>
      </w:pPr>
      <w:r>
        <w:t>A02：把原生当隐藏，事后更换概念【Major｜解释风险】</w:t>
      </w:r>
    </w:p>
    <w:p>
      <w:r>
        <w:t>攻击：当原生组不占优时，把原因改称“隐藏引导不如显式引导”，实际上加入了未被独立操纵的机制。</w:t>
      </w:r>
    </w:p>
    <w:p>
      <w:r>
        <w:t>修复：全包固定native是表达载体/组织方式，不等于隐蔽。可发现性和理解成本单列测量；可说指定抽象方案优于指定原生方案，不能说所有显式提示都优于原生。</w:t>
      </w:r>
    </w:p>
    <w:p>
      <w:r>
        <w:t>再攻击：是否必须新增原生×显式2×2研究？当前不需要。两臂完整方案已经能回答部署选择，只须限制机制结论。更强机制研究另作后续，不扩大本项目。[C3]</w:t>
      </w:r>
    </w:p>
    <w:p>
      <w:pPr>
        <w:pStyle w:val="Heading2"/>
      </w:pPr>
      <w:r>
        <w:t>A03：阴性结果被过度解释【Critical｜推断规则】</w:t>
      </w:r>
    </w:p>
    <w:p>
      <w:r>
        <w:t>攻击：未显著不代表反向优势，也不代表实际等效；宽区间不能产生确定推荐。</w:t>
      </w:r>
    </w:p>
    <w:p>
      <w:r>
        <w:t>修复：主要差定义为native减abstract，负值利于原生。方向、实际意义和研究效度分层输出；确认性等效默认关闭，须事前另冻界限与方法。统计可辨的小差异可以同时落在实用界限内，不强行互斥。</w:t>
      </w:r>
    </w:p>
    <w:p>
      <w:r>
        <w:t>再攻击：负结果是否总有发表价值？不是。需要可靠实现、有效测量、足够精度、理论/设计意义和完整报告；坏掉的系统与无力检验不是同等有力的理论反证。[C3,M1,M2]</w:t>
      </w:r>
    </w:p>
    <w:p>
      <w:pPr>
        <w:pStyle w:val="Heading2"/>
      </w:pPr>
      <w:r>
        <w:t>A04：功能门阻断主要情绪结果报告【Critical｜流程偏差】</w:t>
      </w:r>
    </w:p>
    <w:p>
      <w:r>
        <w:t>攻击：旧顺序Gate可能让SCCI或PF不通过时，后续有效情绪比较被跳过或只留有利结果。</w:t>
      </w:r>
    </w:p>
    <w:p>
      <w:r>
        <w:t>修复：准入门、结果估计、功能护栏和部署推荐四者分开。正式前的测量/安全门仍严格；正式研究后全部预定有效结果必须报告，不能以原生不占优或护栏失败为由隐藏。</w:t>
      </w:r>
    </w:p>
    <w:p>
      <w:r>
        <w:t>再攻击：技术链根本未形成比较怎么办？报告实际分配与交付状态并限制概念推论，不把技术损坏简单当成“抽象理论更优”。SCCI不显著本身也不是自动作废随机比较的依据。[C2,C3]</w:t>
      </w:r>
    </w:p>
    <w:p>
      <w:pPr>
        <w:pStyle w:val="Heading2"/>
      </w:pPr>
      <w:r>
        <w:t>A05：运行步骤身份与题库不一致【Critical｜已有语义断点】</w:t>
      </w:r>
    </w:p>
    <w:p>
      <w:r>
        <w:t>F-05已明确storm的hold_1/hold_2和fade的inhale_1/inhale_2，原候选题仍主要依据粗相位。旧题可能把关键错误判成正确。[C1,R4]</w:t>
      </w:r>
    </w:p>
    <w:p>
      <w:r>
        <w:t>修复：真值、理解题、算法、标注与错误表共同使用步骤/周期ID；实际不可观测必须为null，不得用目标补值。包内交付迁移规范与反例；并未替代真实题库实现与设备标注研究。</w:t>
      </w:r>
    </w:p>
    <w:p>
      <w:r>
        <w:t>再攻击：字段存在不代表真实带能测。S-02仍需逐结构独立标注、误差与目标泄漏测试；不能以动画或Schema PASS关闭测量门。</w:t>
      </w:r>
    </w:p>
    <w:p>
      <w:pPr>
        <w:pStyle w:val="Heading2"/>
      </w:pPr>
      <w:r>
        <w:t>A06：样本数服务旧问题【Critical｜正式准入未关闭】</w:t>
      </w:r>
    </w:p>
    <w:p>
      <w:r>
        <w:t>旧48、192、240与528是规划锚点。新主要PANAS差异不能沿用旧PF非劣或联合表示门的功效结论。[R2]</w:t>
      </w:r>
    </w:p>
    <w:p>
      <w:r>
        <w:t>修复：重新论证最低关注情绪差异；用盲态方差、相关、地板、缺失和实际随机化做模拟，同时评估部署联合主张。包内正态近似只作资源敏感性，不是正式N。</w:t>
      </w:r>
    </w:p>
    <w:p>
      <w:r>
        <w:t>再攻击：为赶工放宽界值或拿预试大效应降低N？不接受。当前资源不足就重审范围、增加资源或NO_GO；不能将“可发论文”误写成“现有N总能得出有价值结果”。</w:t>
      </w:r>
    </w:p>
    <w:p>
      <w:pPr>
        <w:pStyle w:val="Heading2"/>
      </w:pPr>
      <w:r>
        <w:t>A07：总体PF非劣掩盖某模块损害【Major｜数学反例】</w:t>
      </w:r>
    </w:p>
    <w:p>
      <w:r>
        <w:t>四模块差[-0.24,0,0,0]的平均为-0.06，可能越过-0.075总体非劣界，却不能支持每一模块都非劣。[P0]</w:t>
      </w:r>
    </w:p>
    <w:p>
      <w:r>
        <w:t>修复：保留总体估计，完整报告模块区间与预定关键错误护栏；只有另有相应推断才能称全部结构均可替代。不以原生PF未过门自动推出抽象情绪更优。</w:t>
      </w:r>
    </w:p>
    <w:p>
      <w:pPr>
        <w:pStyle w:val="Heading2"/>
      </w:pPr>
      <w:r>
        <w:t>A08：可选阶段三实际上阻断核心收尾【Critical｜当前依赖证据】</w:t>
      </w:r>
    </w:p>
    <w:p>
      <w:r>
        <w:t>当前任务链为A-04依赖A-05和E-06，W-02依赖A-04，W-03依赖W-02。若不做阶段三，核心稿也无法完成。[R3]</w:t>
      </w:r>
    </w:p>
    <w:p>
      <w:r>
        <w:t>修复：A-04改为核心最终分析，依赖A-05和新增UP-10；W-02再消费结果前稿UP-07。扩展结果由UP-08独立消费E-06、A-05和E-05；CORE_ONLY可到W-03而不经过策略链。</w:t>
      </w:r>
    </w:p>
    <w:p>
      <w:r>
        <w:t>再攻击：是否允许隐藏不利扩展？不允许。NOT_RUN不等于PASS；已开展、停止或部分数据必须披露，不能抹掉。机器图与迁移规则已交付并测试设计可达性，用户仓库尚未应用。</w:t>
      </w:r>
    </w:p>
    <w:p>
      <w:pPr>
        <w:pStyle w:val="Heading2"/>
      </w:pPr>
      <w:r>
        <w:t>A09：理论反证安排在重工程之后【Major｜任务顺序】</w:t>
      </w:r>
    </w:p>
    <w:p>
      <w:r>
        <w:t>Q-01原先依赖U-07，E-01依赖完整G-05，可能使静态理论问题等到大量正式资源到位才被发现。[C1,R3]</w:t>
      </w:r>
    </w:p>
    <w:p>
      <w:r>
        <w:t>修复：静态/回放材料与真实活动范围准入分开；新增UP-05，早期获批活动先行。需要真机的Level B和正式研究仍需对应范围，不能拿静态许可越门。</w:t>
      </w:r>
    </w:p>
    <w:p>
      <w:pPr>
        <w:pStyle w:val="Heading2"/>
      </w:pPr>
      <w:r>
        <w:t>A10：策略概率为正却信息量不足【Major｜继承边界】</w:t>
      </w:r>
    </w:p>
    <w:p>
      <w:r>
        <w:t>第一轮给出96轨迹与20%均匀混合下ESS约8.79的构造反例，证明正概率不自动代表离线支持充分；不是未来策略表现估计。[P0]</w:t>
      </w:r>
    </w:p>
    <w:p>
      <w:r>
        <w:t>修复：保持参与者分组交叉拟合、低容量模型、支持/尾部/ESS/稳定性/回放门，失败即不启动扩展。策略对随机只能识别部署包，不自动证明实时状态或个性化必要。</w:t>
      </w:r>
    </w:p>
    <w:p>
      <w:pPr>
        <w:pStyle w:val="Heading2"/>
      </w:pPr>
      <w:r>
        <w:t>A11：阶段内真实反馈差异被“公平”抹平【Major｜设计风险】</w:t>
      </w:r>
    </w:p>
    <w:p>
      <w:r>
        <w:t>两臂应共享算法、奖励规则与背景，不必让不同参与者实际累计轨迹完全相同。后者可能由执行差异产生，是方案效果路径的一部分。</w:t>
      </w:r>
    </w:p>
    <w:p>
      <w:r>
        <w:t>修复：匹配函数而非强制结果；主要情绪模型不加入事后PF、注意或控制感去“校正掉”处理路径。对应过程分析标为解释，不默认因果中介。[C2,M3]</w:t>
      </w:r>
    </w:p>
    <w:p>
      <w:pPr>
        <w:pStyle w:val="Heading2"/>
      </w:pPr>
      <w:r>
        <w:t>A12：短时结果被扩大为疗效或长期结论【Major｜主张边界】</w:t>
      </w:r>
    </w:p>
    <w:p>
      <w:r>
        <w:t>800秒核心体验、指定大学生样本与“此刻”量表，不能证明长期维持、治疗作用，或短时/长期效果有交互。无无项目对照时，共同前后下降不能证明系统绝对作用。[H1,H2,C2,C3]</w:t>
      </w:r>
    </w:p>
    <w:p>
      <w:r>
        <w:t>修复：论文使用状态性负性情绪、指定方案增量和适用边界。“疗愈”可以是项目愿景词，但不作为超出证据的效果承诺。</w:t>
      </w:r>
    </w:p>
    <w:p>
      <w:pPr>
        <w:pStyle w:val="Heading2"/>
      </w:pPr>
      <w:r>
        <w:t>A13：分条件教学与前测时序未完全闭合【Major｜封包交叉审计补充】</w:t>
      </w:r>
    </w:p>
    <w:p>
      <w:r>
        <w:t>v1.1把教学放在PANAS前测前；它没有在机器字段中区分共同中立训练与分组特有训练。若后者先发生，再调整该NA_pre，就可能把受处理影响的得分当成无干预基线。这里标记的是待核验风险，不断言尚未开展的研究已经偏倚。[R2,OP1]</w:t>
      </w:r>
    </w:p>
    <w:p>
      <w:r>
        <w:t>本包明确提出、但不冒充已获确认的修订：共同准备 → PANAS前测 → 分配揭示 → 同预算分条件教学 → 800秒核心体验 → PANAS后测。主要估计目标相应为教学加核心体验的短时部署包，不是把条件教学影响剔除后的纯核心效应。UP-04/UP-11须将时序、同意材料、随机化与数据字段一起冻结；否则维持正式阻断。</w:t>
      </w:r>
    </w:p>
    <w:p>
      <w:pPr>
        <w:pStyle w:val="Heading1"/>
      </w:pPr>
      <w:r>
        <w:t>5. 审计项的真实关闭状态</w:t>
      </w:r>
    </w:p>
    <w:tbl>
      <w:tblPr>
        <w:tblW w:type="auto" w:w="0"/>
        <w:jc w:val="center"/>
        <w:tblLayout w:type="fixed"/>
        <w:tblLook w:firstColumn="1" w:firstRow="1" w:lastColumn="0" w:lastRow="0" w:noHBand="0" w:noVBand="1" w:val="04A0"/>
        <w:tblBorders>
          <w:top w:val="single" w:sz="4" w:color="B5B5B5"/>
          <w:bottom w:val="single" w:sz="4" w:color="B5B5B5"/>
          <w:insideH w:val="single" w:sz="4" w:color="B5B5B5"/>
        </w:tblBorders>
      </w:tblPr>
      <w:tblGrid>
        <w:gridCol w:w="3156"/>
        <w:gridCol w:w="3156"/>
        <w:gridCol w:w="3156"/>
      </w:tblGrid>
      <w:tr>
        <w:trPr>
          <w:cantSplit/>
          <w:tblHeader/>
        </w:trPr>
        <w:tc>
          <w:tcPr>
            <w:tcW w:type="dxa" w:w="1814"/>
            <w:vAlign w:val="top"/>
            <w:tcMar>
              <w:top w:w="90" w:type="dxa"/>
              <w:bottom w:w="90" w:type="dxa"/>
              <w:left w:w="85" w:type="dxa"/>
              <w:right w:w="85" w:type="dxa"/>
            </w:tcMar>
            <w:shd w:fill="E8E8E8"/>
          </w:tcPr>
          <w:p>
            <w:pPr>
              <w:spacing w:after="20" w:line="264" w:lineRule="auto"/>
            </w:pPr>
            <w:r>
              <w:rPr>
                <w:b/>
                <w:sz w:val="18"/>
              </w:rPr>
              <w:t>类型</w:t>
            </w:r>
          </w:p>
        </w:tc>
        <w:tc>
          <w:tcPr>
            <w:tcW w:type="dxa" w:w="3402"/>
            <w:vAlign w:val="top"/>
            <w:tcMar>
              <w:top w:w="90" w:type="dxa"/>
              <w:bottom w:w="90" w:type="dxa"/>
              <w:left w:w="85" w:type="dxa"/>
              <w:right w:w="85" w:type="dxa"/>
            </w:tcMar>
            <w:shd w:fill="E8E8E8"/>
          </w:tcPr>
          <w:p>
            <w:pPr>
              <w:spacing w:after="20" w:line="264" w:lineRule="auto"/>
            </w:pPr>
            <w:r>
              <w:rPr>
                <w:b/>
                <w:sz w:val="18"/>
              </w:rPr>
              <w:t>本包已完成</w:t>
            </w:r>
          </w:p>
        </w:tc>
        <w:tc>
          <w:tcPr>
            <w:tcW w:type="dxa" w:w="4252"/>
            <w:vAlign w:val="top"/>
            <w:tcMar>
              <w:top w:w="90" w:type="dxa"/>
              <w:bottom w:w="90" w:type="dxa"/>
              <w:left w:w="85" w:type="dxa"/>
              <w:right w:w="85" w:type="dxa"/>
            </w:tcMar>
            <w:shd w:fill="E8E8E8"/>
          </w:tcPr>
          <w:p>
            <w:pPr>
              <w:spacing w:after="20" w:line="264" w:lineRule="auto"/>
            </w:pPr>
            <w:r>
              <w:rPr>
                <w:b/>
                <w:sz w:val="18"/>
              </w:rPr>
              <w:t>仍不能宣布完成</w:t>
            </w:r>
          </w:p>
        </w:tc>
      </w:tr>
      <w:tr>
        <w:trPr>
          <w:cantSplit/>
        </w:trPr>
        <w:tc>
          <w:tcPr>
            <w:tcW w:type="dxa" w:w="1814"/>
            <w:vAlign w:val="top"/>
            <w:tcMar>
              <w:top w:w="90" w:type="dxa"/>
              <w:bottom w:w="90" w:type="dxa"/>
              <w:left w:w="85" w:type="dxa"/>
              <w:right w:w="85" w:type="dxa"/>
            </w:tcMar>
          </w:tcPr>
          <w:p>
            <w:pPr>
              <w:spacing w:after="20" w:line="264" w:lineRule="auto"/>
            </w:pPr>
            <w:r>
              <w:rPr>
                <w:sz w:val="18"/>
              </w:rPr>
              <w:t>研究主线</w:t>
            </w:r>
          </w:p>
        </w:tc>
        <w:tc>
          <w:tcPr>
            <w:tcW w:type="dxa" w:w="3402"/>
            <w:vAlign w:val="top"/>
            <w:tcMar>
              <w:top w:w="90" w:type="dxa"/>
              <w:bottom w:w="90" w:type="dxa"/>
              <w:left w:w="85" w:type="dxa"/>
              <w:right w:w="85" w:type="dxa"/>
            </w:tcMar>
          </w:tcPr>
          <w:p>
            <w:pPr>
              <w:spacing w:after="20" w:line="264" w:lineRule="auto"/>
            </w:pPr>
            <w:r>
              <w:rPr>
                <w:sz w:val="18"/>
              </w:rPr>
              <w:t>重排贡献、处理、主结果与边界</w:t>
            </w:r>
          </w:p>
        </w:tc>
        <w:tc>
          <w:tcPr>
            <w:tcW w:type="dxa" w:w="4252"/>
            <w:vAlign w:val="top"/>
            <w:tcMar>
              <w:top w:w="90" w:type="dxa"/>
              <w:bottom w:w="90" w:type="dxa"/>
              <w:left w:w="85" w:type="dxa"/>
              <w:right w:w="85" w:type="dxa"/>
            </w:tcMar>
          </w:tcPr>
          <w:p>
            <w:pPr>
              <w:spacing w:after="20" w:line="264" w:lineRule="auto"/>
            </w:pPr>
            <w:r>
              <w:rPr>
                <w:sz w:val="18"/>
              </w:rPr>
              <w:t>新颖性已被外部同行确认</w:t>
            </w:r>
          </w:p>
        </w:tc>
      </w:tr>
      <w:tr>
        <w:trPr>
          <w:cantSplit/>
        </w:trPr>
        <w:tc>
          <w:tcPr>
            <w:tcW w:type="dxa" w:w="1814"/>
            <w:vAlign w:val="top"/>
            <w:tcMar>
              <w:top w:w="90" w:type="dxa"/>
              <w:bottom w:w="90" w:type="dxa"/>
              <w:left w:w="85" w:type="dxa"/>
              <w:right w:w="85" w:type="dxa"/>
            </w:tcMar>
          </w:tcPr>
          <w:p>
            <w:pPr>
              <w:spacing w:after="20" w:line="264" w:lineRule="auto"/>
            </w:pPr>
            <w:r>
              <w:rPr>
                <w:sz w:val="18"/>
              </w:rPr>
              <w:t>统计逻辑</w:t>
            </w:r>
          </w:p>
        </w:tc>
        <w:tc>
          <w:tcPr>
            <w:tcW w:type="dxa" w:w="3402"/>
            <w:vAlign w:val="top"/>
            <w:tcMar>
              <w:top w:w="90" w:type="dxa"/>
              <w:bottom w:w="90" w:type="dxa"/>
              <w:left w:w="85" w:type="dxa"/>
              <w:right w:w="85" w:type="dxa"/>
            </w:tcMar>
          </w:tcPr>
          <w:p>
            <w:pPr>
              <w:spacing w:after="20" w:line="264" w:lineRule="auto"/>
            </w:pPr>
            <w:r>
              <w:rPr>
                <w:sz w:val="18"/>
              </w:rPr>
              <w:t>差值方向、结果分类、等效禁误用</w:t>
            </w:r>
          </w:p>
        </w:tc>
        <w:tc>
          <w:tcPr>
            <w:tcW w:type="dxa" w:w="4252"/>
            <w:vAlign w:val="top"/>
            <w:tcMar>
              <w:top w:w="90" w:type="dxa"/>
              <w:bottom w:w="90" w:type="dxa"/>
              <w:left w:w="85" w:type="dxa"/>
              <w:right w:w="85" w:type="dxa"/>
            </w:tcMar>
          </w:tcPr>
          <w:p>
            <w:pPr>
              <w:spacing w:after="20" w:line="264" w:lineRule="auto"/>
            </w:pPr>
            <w:r>
              <w:rPr>
                <w:sz w:val="18"/>
              </w:rPr>
              <w:t>实测效应、正式功效、插补完整实现</w:t>
            </w:r>
          </w:p>
        </w:tc>
      </w:tr>
      <w:tr>
        <w:trPr>
          <w:cantSplit/>
        </w:trPr>
        <w:tc>
          <w:tcPr>
            <w:tcW w:type="dxa" w:w="1814"/>
            <w:vAlign w:val="top"/>
            <w:tcMar>
              <w:top w:w="90" w:type="dxa"/>
              <w:bottom w:w="90" w:type="dxa"/>
              <w:left w:w="85" w:type="dxa"/>
              <w:right w:w="85" w:type="dxa"/>
            </w:tcMar>
          </w:tcPr>
          <w:p>
            <w:pPr>
              <w:spacing w:after="20" w:line="264" w:lineRule="auto"/>
            </w:pPr>
            <w:r>
              <w:rPr>
                <w:sz w:val="18"/>
              </w:rPr>
              <w:t>任务依赖</w:t>
            </w:r>
          </w:p>
        </w:tc>
        <w:tc>
          <w:tcPr>
            <w:tcW w:type="dxa" w:w="3402"/>
            <w:vAlign w:val="top"/>
            <w:tcMar>
              <w:top w:w="90" w:type="dxa"/>
              <w:bottom w:w="90" w:type="dxa"/>
              <w:left w:w="85" w:type="dxa"/>
              <w:right w:w="85" w:type="dxa"/>
            </w:tcMar>
          </w:tcPr>
          <w:p>
            <w:pPr>
              <w:spacing w:after="20" w:line="264" w:lineRule="auto"/>
            </w:pPr>
            <w:r>
              <w:rPr>
                <w:sz w:val="18"/>
              </w:rPr>
              <w:t>70节点目标图、15项旧任务定点变更、12项新任务</w:t>
            </w:r>
          </w:p>
        </w:tc>
        <w:tc>
          <w:tcPr>
            <w:tcW w:type="dxa" w:w="4252"/>
            <w:vAlign w:val="top"/>
            <w:tcMar>
              <w:top w:w="90" w:type="dxa"/>
              <w:bottom w:w="90" w:type="dxa"/>
              <w:left w:w="85" w:type="dxa"/>
              <w:right w:w="85" w:type="dxa"/>
            </w:tcMar>
          </w:tcPr>
          <w:p>
            <w:pPr>
              <w:spacing w:after="20" w:line="264" w:lineRule="auto"/>
            </w:pPr>
            <w:r>
              <w:rPr>
                <w:sz w:val="18"/>
              </w:rPr>
              <w:t>用户仓库迁移已应用或原任务已验收</w:t>
            </w:r>
          </w:p>
        </w:tc>
      </w:tr>
      <w:tr>
        <w:trPr>
          <w:cantSplit/>
        </w:trPr>
        <w:tc>
          <w:tcPr>
            <w:tcW w:type="dxa" w:w="1814"/>
            <w:vAlign w:val="top"/>
            <w:tcMar>
              <w:top w:w="90" w:type="dxa"/>
              <w:bottom w:w="90" w:type="dxa"/>
              <w:left w:w="85" w:type="dxa"/>
              <w:right w:w="85" w:type="dxa"/>
            </w:tcMar>
          </w:tcPr>
          <w:p>
            <w:pPr>
              <w:spacing w:after="20" w:line="264" w:lineRule="auto"/>
            </w:pPr>
            <w:r>
              <w:rPr>
                <w:sz w:val="18"/>
              </w:rPr>
              <w:t>测量</w:t>
            </w:r>
          </w:p>
        </w:tc>
        <w:tc>
          <w:tcPr>
            <w:tcW w:type="dxa" w:w="3402"/>
            <w:vAlign w:val="top"/>
            <w:tcMar>
              <w:top w:w="90" w:type="dxa"/>
              <w:bottom w:w="90" w:type="dxa"/>
              <w:left w:w="85" w:type="dxa"/>
              <w:right w:w="85" w:type="dxa"/>
            </w:tcMar>
          </w:tcPr>
          <w:p>
            <w:pPr>
              <w:spacing w:after="20" w:line="264" w:lineRule="auto"/>
            </w:pPr>
            <w:r>
              <w:rPr>
                <w:sz w:val="18"/>
              </w:rPr>
              <w:t>步骤语义迁移与最低反例</w:t>
            </w:r>
          </w:p>
        </w:tc>
        <w:tc>
          <w:tcPr>
            <w:tcW w:type="dxa" w:w="4252"/>
            <w:vAlign w:val="top"/>
            <w:tcMar>
              <w:top w:w="90" w:type="dxa"/>
              <w:bottom w:w="90" w:type="dxa"/>
              <w:left w:w="85" w:type="dxa"/>
              <w:right w:w="85" w:type="dxa"/>
            </w:tcMar>
          </w:tcPr>
          <w:p>
            <w:pPr>
              <w:spacing w:after="20" w:line="264" w:lineRule="auto"/>
            </w:pPr>
            <w:r>
              <w:rPr>
                <w:sz w:val="18"/>
              </w:rPr>
              <w:t>真实量表效度或设备可检测性</w:t>
            </w:r>
          </w:p>
        </w:tc>
      </w:tr>
      <w:tr>
        <w:trPr>
          <w:cantSplit/>
        </w:trPr>
        <w:tc>
          <w:tcPr>
            <w:tcW w:type="dxa" w:w="1814"/>
            <w:vAlign w:val="top"/>
            <w:tcMar>
              <w:top w:w="90" w:type="dxa"/>
              <w:bottom w:w="90" w:type="dxa"/>
              <w:left w:w="85" w:type="dxa"/>
              <w:right w:w="85" w:type="dxa"/>
            </w:tcMar>
          </w:tcPr>
          <w:p>
            <w:pPr>
              <w:spacing w:after="20" w:line="264" w:lineRule="auto"/>
            </w:pPr>
            <w:r>
              <w:rPr>
                <w:sz w:val="18"/>
              </w:rPr>
              <w:t>工程</w:t>
            </w:r>
          </w:p>
        </w:tc>
        <w:tc>
          <w:tcPr>
            <w:tcW w:type="dxa" w:w="3402"/>
            <w:vAlign w:val="top"/>
            <w:tcMar>
              <w:top w:w="90" w:type="dxa"/>
              <w:bottom w:w="90" w:type="dxa"/>
              <w:left w:w="85" w:type="dxa"/>
              <w:right w:w="85" w:type="dxa"/>
            </w:tcMar>
          </w:tcPr>
          <w:p>
            <w:pPr>
              <w:spacing w:after="20" w:line="264" w:lineRule="auto"/>
            </w:pPr>
            <w:r>
              <w:rPr>
                <w:sz w:val="18"/>
              </w:rPr>
              <w:t>版本/准入接线任务与工具边界</w:t>
            </w:r>
          </w:p>
        </w:tc>
        <w:tc>
          <w:tcPr>
            <w:tcW w:type="dxa" w:w="4252"/>
            <w:vAlign w:val="top"/>
            <w:tcMar>
              <w:top w:w="90" w:type="dxa"/>
              <w:bottom w:w="90" w:type="dxa"/>
              <w:left w:w="85" w:type="dxa"/>
              <w:right w:w="85" w:type="dxa"/>
            </w:tcMar>
          </w:tcPr>
          <w:p>
            <w:pPr>
              <w:spacing w:after="20" w:line="264" w:lineRule="auto"/>
            </w:pPr>
            <w:r>
              <w:rPr>
                <w:sz w:val="18"/>
              </w:rPr>
              <w:t>Unity、TD、双真机LIVE_E2E</w:t>
            </w:r>
          </w:p>
        </w:tc>
      </w:tr>
      <w:tr>
        <w:trPr>
          <w:cantSplit/>
        </w:trPr>
        <w:tc>
          <w:tcPr>
            <w:tcW w:type="dxa" w:w="1814"/>
            <w:vAlign w:val="top"/>
            <w:tcMar>
              <w:top w:w="90" w:type="dxa"/>
              <w:bottom w:w="90" w:type="dxa"/>
              <w:left w:w="85" w:type="dxa"/>
              <w:right w:w="85" w:type="dxa"/>
            </w:tcMar>
          </w:tcPr>
          <w:p>
            <w:pPr>
              <w:spacing w:after="20" w:line="264" w:lineRule="auto"/>
            </w:pPr>
            <w:r>
              <w:rPr>
                <w:sz w:val="18"/>
              </w:rPr>
              <w:t>合规</w:t>
            </w:r>
          </w:p>
        </w:tc>
        <w:tc>
          <w:tcPr>
            <w:tcW w:type="dxa" w:w="3402"/>
            <w:vAlign w:val="top"/>
            <w:tcMar>
              <w:top w:w="90" w:type="dxa"/>
              <w:bottom w:w="90" w:type="dxa"/>
              <w:left w:w="85" w:type="dxa"/>
              <w:right w:w="85" w:type="dxa"/>
            </w:tcMar>
          </w:tcPr>
          <w:p>
            <w:pPr>
              <w:spacing w:after="20" w:line="264" w:lineRule="auto"/>
            </w:pPr>
            <w:r>
              <w:rPr>
                <w:sz w:val="18"/>
              </w:rPr>
              <w:t>分范围责任、停止/隐私/公开清单</w:t>
            </w:r>
          </w:p>
        </w:tc>
        <w:tc>
          <w:tcPr>
            <w:tcW w:type="dxa" w:w="4252"/>
            <w:vAlign w:val="top"/>
            <w:tcMar>
              <w:top w:w="90" w:type="dxa"/>
              <w:bottom w:w="90" w:type="dxa"/>
              <w:left w:w="85" w:type="dxa"/>
              <w:right w:w="85" w:type="dxa"/>
            </w:tcMar>
          </w:tcPr>
          <w:p>
            <w:pPr>
              <w:spacing w:after="20" w:line="264" w:lineRule="auto"/>
            </w:pPr>
            <w:r>
              <w:rPr>
                <w:sz w:val="18"/>
              </w:rPr>
              <w:t>机构许可、量表授权或真实签署</w:t>
            </w:r>
          </w:p>
        </w:tc>
      </w:tr>
      <w:tr>
        <w:trPr>
          <w:cantSplit/>
        </w:trPr>
        <w:tc>
          <w:tcPr>
            <w:tcW w:type="dxa" w:w="1814"/>
            <w:vAlign w:val="top"/>
            <w:tcMar>
              <w:top w:w="90" w:type="dxa"/>
              <w:bottom w:w="90" w:type="dxa"/>
              <w:left w:w="85" w:type="dxa"/>
              <w:right w:w="85" w:type="dxa"/>
            </w:tcMar>
          </w:tcPr>
          <w:p>
            <w:pPr>
              <w:spacing w:after="20" w:line="264" w:lineRule="auto"/>
            </w:pPr>
            <w:r>
              <w:rPr>
                <w:sz w:val="18"/>
              </w:rPr>
              <w:t>文档</w:t>
            </w:r>
          </w:p>
        </w:tc>
        <w:tc>
          <w:tcPr>
            <w:tcW w:type="dxa" w:w="3402"/>
            <w:vAlign w:val="top"/>
            <w:tcMar>
              <w:top w:w="90" w:type="dxa"/>
              <w:bottom w:w="90" w:type="dxa"/>
              <w:left w:w="85" w:type="dxa"/>
              <w:right w:w="85" w:type="dxa"/>
            </w:tcMar>
          </w:tcPr>
          <w:p>
            <w:pPr>
              <w:spacing w:after="20" w:line="264" w:lineRule="auto"/>
            </w:pPr>
            <w:r>
              <w:rPr>
                <w:sz w:val="18"/>
              </w:rPr>
              <w:t>最终审计、实施合同与模板</w:t>
            </w:r>
          </w:p>
        </w:tc>
        <w:tc>
          <w:tcPr>
            <w:tcW w:type="dxa" w:w="4252"/>
            <w:vAlign w:val="top"/>
            <w:tcMar>
              <w:top w:w="90" w:type="dxa"/>
              <w:bottom w:w="90" w:type="dxa"/>
              <w:left w:w="85" w:type="dxa"/>
              <w:right w:w="85" w:type="dxa"/>
            </w:tcMar>
          </w:tcPr>
          <w:p>
            <w:pPr>
              <w:spacing w:after="20" w:line="264" w:lineRule="auto"/>
            </w:pPr>
            <w:r>
              <w:rPr>
                <w:sz w:val="18"/>
              </w:rPr>
              <w:t>结果论文已可投稿、录用已可预测</w:t>
            </w:r>
          </w:p>
        </w:tc>
      </w:tr>
    </w:tbl>
    <w:p>
      <w:pPr>
        <w:spacing w:after="20"/>
      </w:pPr>
    </w:p>
    <w:p>
      <w:r>
        <w:t>历史DONE保持其原签收对象，不撤销也不扩张。受影响制品逐项登记到新增UP任务。真实审批、招募、参数冻结、部署风险、揭盲和投稿只能由相应真人承担；机器能够独立检查的字段、哈希、图、反例不再要求用户逐个点确认。</w:t>
      </w:r>
    </w:p>
    <w:p>
      <w:pPr>
        <w:pStyle w:val="Heading1"/>
      </w:pPr>
      <w:r>
        <w:t>6. 研究实施方案</w:t>
      </w:r>
    </w:p>
    <w:p>
      <w:pPr>
        <w:pStyle w:val="Heading2"/>
      </w:pPr>
      <w:r>
        <w:t>6.1 最小改动保持研究可做</w:t>
      </w:r>
    </w:p>
    <w:p>
      <w:r>
        <w:t>继续两臂平行组，四固定复合模块，每人一次、全程无手部操作、24顺序按分配平衡。新时序候选为共同准备后前测、揭示分配后分条件教学与体验、随后后测，理解等在PANAS后。该时序修订须受控冻结，不能静默改旧协议。不要重新增加4×4、24个独立试验组、长期疗效或复杂策略主贡献。[R2,C2]</w:t>
      </w:r>
    </w:p>
    <w:p>
      <w:r>
        <w:t>两条件接受相同有限教学预算，各自经过公平形成性优化；记录理解与帮助成本，不能为效果筛掉学习慢的人。若改成训练到同等熟练，即更换估计目标，须新版本。</w:t>
      </w:r>
    </w:p>
    <w:p>
      <w:pPr>
        <w:pStyle w:val="Heading2"/>
      </w:pPr>
      <w:r>
        <w:t>6.2 结果模型与数据责任</w:t>
      </w:r>
    </w:p>
    <w:p>
      <w:r>
        <w:t>量表承担状态性负性情绪；呼吸数据承担执行与可观察过程；ECG仅按预定离线过程解释；SCCI承担融合操纵。它们不合并为一个总分。</w:t>
      </w:r>
    </w:p>
    <w:p>
      <w:r>
        <w:t>主要ANCOVA拟用cue_mode、中心化前测和随机化分层；参与者为分析单位。技术波形缺失不自动删除有效PANAS。缺失与退出按事前规则、同意和实际可用性处理，主要与敏感性全部报告。</w:t>
      </w:r>
    </w:p>
    <w:p>
      <w:pPr>
        <w:pStyle w:val="Heading2"/>
      </w:pPr>
      <w:r>
        <w:t>6.3 公平的负结果</w:t>
      </w:r>
    </w:p>
    <w:p>
      <w:r>
        <w:t>两臂基础实现可用、主要测量有效、CI精度足够、替代解释透明，才有可靠反向结果或边界知识。未显著且区间宽只能说明不确定。不能结果不好才换主指标、重命名处理、补人或筛模块。</w:t>
      </w:r>
    </w:p>
    <w:p>
      <w:pPr>
        <w:pStyle w:val="Heading1"/>
      </w:pPr>
      <w:r>
        <w:t>7. 时间与产能</w:t>
      </w:r>
    </w:p>
    <w:p>
      <w:r>
        <w:t>继承旧锚点计算，核心48+240=288会话，需264–336工位小时；完整528会话需484–616工位小时。假设两工位各4场/日、每周4日，则纯采集为9周与16.5周。[R2,P0]</w:t>
      </w:r>
    </w:p>
    <w:tbl>
      <w:tblPr>
        <w:tblW w:type="auto" w:w="0"/>
        <w:jc w:val="center"/>
        <w:tblLayout w:type="fixed"/>
        <w:tblLook w:firstColumn="1" w:firstRow="1" w:lastColumn="0" w:lastRow="0" w:noHBand="0" w:noVBand="1" w:val="04A0"/>
        <w:tblBorders>
          <w:top w:val="single" w:sz="4" w:color="B5B5B5"/>
          <w:bottom w:val="single" w:sz="4" w:color="B5B5B5"/>
          <w:insideH w:val="single" w:sz="4" w:color="B5B5B5"/>
        </w:tblBorders>
      </w:tblPr>
      <w:tblGrid>
        <w:gridCol w:w="3156"/>
        <w:gridCol w:w="3156"/>
        <w:gridCol w:w="3156"/>
      </w:tblGrid>
      <w:tr>
        <w:trPr>
          <w:cantSplit/>
          <w:tblHeader/>
        </w:trPr>
        <w:tc>
          <w:tcPr>
            <w:tcW w:type="dxa" w:w="1814"/>
            <w:vAlign w:val="top"/>
            <w:tcMar>
              <w:top w:w="90" w:type="dxa"/>
              <w:bottom w:w="90" w:type="dxa"/>
              <w:left w:w="85" w:type="dxa"/>
              <w:right w:w="85" w:type="dxa"/>
            </w:tcMar>
            <w:shd w:fill="E8E8E8"/>
          </w:tcPr>
          <w:p>
            <w:pPr>
              <w:spacing w:after="20" w:line="264" w:lineRule="auto"/>
            </w:pPr>
            <w:r>
              <w:rPr>
                <w:b/>
                <w:sz w:val="18"/>
              </w:rPr>
              <w:t>条件时间窗</w:t>
            </w:r>
          </w:p>
        </w:tc>
        <w:tc>
          <w:tcPr>
            <w:tcW w:type="dxa" w:w="3402"/>
            <w:vAlign w:val="top"/>
            <w:tcMar>
              <w:top w:w="90" w:type="dxa"/>
              <w:bottom w:w="90" w:type="dxa"/>
              <w:left w:w="85" w:type="dxa"/>
              <w:right w:w="85" w:type="dxa"/>
            </w:tcMar>
            <w:shd w:fill="E8E8E8"/>
          </w:tcPr>
          <w:p>
            <w:pPr>
              <w:spacing w:after="20" w:line="264" w:lineRule="auto"/>
            </w:pPr>
            <w:r>
              <w:rPr>
                <w:b/>
                <w:sz w:val="18"/>
              </w:rPr>
              <w:t>优先交付</w:t>
            </w:r>
          </w:p>
        </w:tc>
        <w:tc>
          <w:tcPr>
            <w:tcW w:type="dxa" w:w="4252"/>
            <w:vAlign w:val="top"/>
            <w:tcMar>
              <w:top w:w="90" w:type="dxa"/>
              <w:bottom w:w="90" w:type="dxa"/>
              <w:left w:w="85" w:type="dxa"/>
              <w:right w:w="85" w:type="dxa"/>
            </w:tcMar>
            <w:shd w:fill="E8E8E8"/>
          </w:tcPr>
          <w:p>
            <w:pPr>
              <w:spacing w:after="20" w:line="264" w:lineRule="auto"/>
            </w:pPr>
            <w:r>
              <w:rPr>
                <w:b/>
                <w:sz w:val="18"/>
              </w:rPr>
              <w:t>Go/No-Go依据</w:t>
            </w:r>
          </w:p>
        </w:tc>
      </w:tr>
      <w:tr>
        <w:trPr>
          <w:cantSplit/>
        </w:trPr>
        <w:tc>
          <w:tcPr>
            <w:tcW w:type="dxa" w:w="1814"/>
            <w:vAlign w:val="top"/>
            <w:tcMar>
              <w:top w:w="90" w:type="dxa"/>
              <w:bottom w:w="90" w:type="dxa"/>
              <w:left w:w="85" w:type="dxa"/>
              <w:right w:w="85" w:type="dxa"/>
            </w:tcMar>
          </w:tcPr>
          <w:p>
            <w:pPr>
              <w:spacing w:after="20" w:line="264" w:lineRule="auto"/>
            </w:pPr>
            <w:r>
              <w:rPr>
                <w:sz w:val="18"/>
              </w:rPr>
              <w:t>2026-09-08—09-21</w:t>
            </w:r>
          </w:p>
        </w:tc>
        <w:tc>
          <w:tcPr>
            <w:tcW w:type="dxa" w:w="3402"/>
            <w:vAlign w:val="top"/>
            <w:tcMar>
              <w:top w:w="90" w:type="dxa"/>
              <w:bottom w:w="90" w:type="dxa"/>
              <w:left w:w="85" w:type="dxa"/>
              <w:right w:w="85" w:type="dxa"/>
            </w:tcMar>
          </w:tcPr>
          <w:p>
            <w:pPr>
              <w:spacing w:after="20" w:line="264" w:lineRule="auto"/>
            </w:pPr>
            <w:r>
              <w:rPr>
                <w:sz w:val="18"/>
              </w:rPr>
              <w:t>新主线、SAP规格、步骤测量、准入范围与任务迁移</w:t>
            </w:r>
          </w:p>
        </w:tc>
        <w:tc>
          <w:tcPr>
            <w:tcW w:type="dxa" w:w="4252"/>
            <w:vAlign w:val="top"/>
            <w:tcMar>
              <w:top w:w="90" w:type="dxa"/>
              <w:bottom w:w="90" w:type="dxa"/>
              <w:left w:w="85" w:type="dxa"/>
              <w:right w:w="85" w:type="dxa"/>
            </w:tcMar>
          </w:tcPr>
          <w:p>
            <w:pPr>
              <w:spacing w:after="20" w:line="264" w:lineRule="auto"/>
            </w:pPr>
            <w:r>
              <w:rPr>
                <w:sz w:val="18"/>
              </w:rPr>
              <w:t>不混用旧协议，不以文档代替审批</w:t>
            </w:r>
          </w:p>
        </w:tc>
      </w:tr>
      <w:tr>
        <w:trPr>
          <w:cantSplit/>
        </w:trPr>
        <w:tc>
          <w:tcPr>
            <w:tcW w:type="dxa" w:w="1814"/>
            <w:vAlign w:val="top"/>
            <w:tcMar>
              <w:top w:w="90" w:type="dxa"/>
              <w:bottom w:w="90" w:type="dxa"/>
              <w:left w:w="85" w:type="dxa"/>
              <w:right w:w="85" w:type="dxa"/>
            </w:tcMar>
          </w:tcPr>
          <w:p>
            <w:pPr>
              <w:spacing w:after="20" w:line="264" w:lineRule="auto"/>
            </w:pPr>
            <w:r>
              <w:rPr>
                <w:sz w:val="18"/>
              </w:rPr>
              <w:t>2026-09-22—11-02</w:t>
            </w:r>
          </w:p>
        </w:tc>
        <w:tc>
          <w:tcPr>
            <w:tcW w:type="dxa" w:w="3402"/>
            <w:vAlign w:val="top"/>
            <w:tcMar>
              <w:top w:w="90" w:type="dxa"/>
              <w:bottom w:w="90" w:type="dxa"/>
              <w:left w:w="85" w:type="dxa"/>
              <w:right w:w="85" w:type="dxa"/>
            </w:tcMar>
          </w:tcPr>
          <w:p>
            <w:pPr>
              <w:spacing w:after="20" w:line="264" w:lineRule="auto"/>
            </w:pPr>
            <w:r>
              <w:rPr>
                <w:sz w:val="18"/>
              </w:rPr>
              <w:t>公平两条件、最高风险步骤、双真机完整链</w:t>
            </w:r>
          </w:p>
        </w:tc>
        <w:tc>
          <w:tcPr>
            <w:tcW w:type="dxa" w:w="4252"/>
            <w:vAlign w:val="top"/>
            <w:tcMar>
              <w:top w:w="90" w:type="dxa"/>
              <w:bottom w:w="90" w:type="dxa"/>
              <w:left w:w="85" w:type="dxa"/>
              <w:right w:w="85" w:type="dxa"/>
            </w:tcMar>
          </w:tcPr>
          <w:p>
            <w:pPr>
              <w:spacing w:after="20" w:line="264" w:lineRule="auto"/>
            </w:pPr>
            <w:r>
              <w:rPr>
                <w:sz w:val="18"/>
              </w:rPr>
              <w:t>实际记录、显示与降级证据</w:t>
            </w:r>
          </w:p>
        </w:tc>
      </w:tr>
      <w:tr>
        <w:trPr>
          <w:cantSplit/>
        </w:trPr>
        <w:tc>
          <w:tcPr>
            <w:tcW w:type="dxa" w:w="1814"/>
            <w:vAlign w:val="top"/>
            <w:tcMar>
              <w:top w:w="90" w:type="dxa"/>
              <w:bottom w:w="90" w:type="dxa"/>
              <w:left w:w="85" w:type="dxa"/>
              <w:right w:w="85" w:type="dxa"/>
            </w:tcMar>
          </w:tcPr>
          <w:p>
            <w:pPr>
              <w:spacing w:after="20" w:line="264" w:lineRule="auto"/>
            </w:pPr>
            <w:r>
              <w:rPr>
                <w:sz w:val="18"/>
              </w:rPr>
              <w:t>2026-11-03—11-30</w:t>
            </w:r>
          </w:p>
        </w:tc>
        <w:tc>
          <w:tcPr>
            <w:tcW w:type="dxa" w:w="3402"/>
            <w:vAlign w:val="top"/>
            <w:tcMar>
              <w:top w:w="90" w:type="dxa"/>
              <w:bottom w:w="90" w:type="dxa"/>
              <w:left w:w="85" w:type="dxa"/>
              <w:right w:w="85" w:type="dxa"/>
            </w:tcMar>
          </w:tcPr>
          <w:p>
            <w:pPr>
              <w:spacing w:after="20" w:line="264" w:lineRule="auto"/>
            </w:pPr>
            <w:r>
              <w:rPr>
                <w:sz w:val="18"/>
              </w:rPr>
              <w:t>形成性/Level C、真实产能、最终模拟与冻结</w:t>
            </w:r>
          </w:p>
        </w:tc>
        <w:tc>
          <w:tcPr>
            <w:tcW w:type="dxa" w:w="4252"/>
            <w:vAlign w:val="top"/>
            <w:tcMar>
              <w:top w:w="90" w:type="dxa"/>
              <w:bottom w:w="90" w:type="dxa"/>
              <w:left w:w="85" w:type="dxa"/>
              <w:right w:w="85" w:type="dxa"/>
            </w:tcMar>
          </w:tcPr>
          <w:p>
            <w:pPr>
              <w:spacing w:after="20" w:line="264" w:lineRule="auto"/>
            </w:pPr>
            <w:r>
              <w:rPr>
                <w:sz w:val="18"/>
              </w:rPr>
              <w:t>工具、精度、界值、资源和许可齐备</w:t>
            </w:r>
          </w:p>
        </w:tc>
      </w:tr>
      <w:tr>
        <w:trPr>
          <w:cantSplit/>
        </w:trPr>
        <w:tc>
          <w:tcPr>
            <w:tcW w:type="dxa" w:w="1814"/>
            <w:vAlign w:val="top"/>
            <w:tcMar>
              <w:top w:w="90" w:type="dxa"/>
              <w:bottom w:w="90" w:type="dxa"/>
              <w:left w:w="85" w:type="dxa"/>
              <w:right w:w="85" w:type="dxa"/>
            </w:tcMar>
          </w:tcPr>
          <w:p>
            <w:pPr>
              <w:spacing w:after="20" w:line="264" w:lineRule="auto"/>
            </w:pPr>
            <w:r>
              <w:rPr>
                <w:sz w:val="18"/>
              </w:rPr>
              <w:t>2026-12-01—2027-02-01</w:t>
            </w:r>
          </w:p>
        </w:tc>
        <w:tc>
          <w:tcPr>
            <w:tcW w:type="dxa" w:w="3402"/>
            <w:vAlign w:val="top"/>
            <w:tcMar>
              <w:top w:w="90" w:type="dxa"/>
              <w:bottom w:w="90" w:type="dxa"/>
              <w:left w:w="85" w:type="dxa"/>
              <w:right w:w="85" w:type="dxa"/>
            </w:tcMar>
          </w:tcPr>
          <w:p>
            <w:pPr>
              <w:spacing w:after="20" w:line="264" w:lineRule="auto"/>
            </w:pPr>
            <w:r>
              <w:rPr>
                <w:sz w:val="18"/>
              </w:rPr>
              <w:t>阶段一、盲态QC、方法写作</w:t>
            </w:r>
          </w:p>
        </w:tc>
        <w:tc>
          <w:tcPr>
            <w:tcW w:type="dxa" w:w="4252"/>
            <w:vAlign w:val="top"/>
            <w:tcMar>
              <w:top w:w="90" w:type="dxa"/>
              <w:bottom w:w="90" w:type="dxa"/>
              <w:left w:w="85" w:type="dxa"/>
              <w:right w:w="85" w:type="dxa"/>
            </w:tcMar>
          </w:tcPr>
          <w:p>
            <w:pPr>
              <w:spacing w:after="20" w:line="264" w:lineRule="auto"/>
            </w:pPr>
            <w:r>
              <w:rPr>
                <w:sz w:val="18"/>
              </w:rPr>
              <w:t>冻结停止规则；不能按p值追加</w:t>
            </w:r>
          </w:p>
        </w:tc>
      </w:tr>
      <w:tr>
        <w:trPr>
          <w:cantSplit/>
        </w:trPr>
        <w:tc>
          <w:tcPr>
            <w:tcW w:type="dxa" w:w="1814"/>
            <w:vAlign w:val="top"/>
            <w:tcMar>
              <w:top w:w="90" w:type="dxa"/>
              <w:bottom w:w="90" w:type="dxa"/>
              <w:left w:w="85" w:type="dxa"/>
              <w:right w:w="85" w:type="dxa"/>
            </w:tcMar>
          </w:tcPr>
          <w:p>
            <w:pPr>
              <w:spacing w:after="20" w:line="264" w:lineRule="auto"/>
            </w:pPr>
            <w:r>
              <w:rPr>
                <w:sz w:val="18"/>
              </w:rPr>
              <w:t>2027-02-02—03-01</w:t>
            </w:r>
          </w:p>
        </w:tc>
        <w:tc>
          <w:tcPr>
            <w:tcW w:type="dxa" w:w="3402"/>
            <w:vAlign w:val="top"/>
            <w:tcMar>
              <w:top w:w="90" w:type="dxa"/>
              <w:bottom w:w="90" w:type="dxa"/>
              <w:left w:w="85" w:type="dxa"/>
              <w:right w:w="85" w:type="dxa"/>
            </w:tcMar>
          </w:tcPr>
          <w:p>
            <w:pPr>
              <w:spacing w:after="20" w:line="264" w:lineRule="auto"/>
            </w:pPr>
            <w:r>
              <w:rPr>
                <w:sz w:val="18"/>
              </w:rPr>
              <w:t>锁库、复现、核心稿与投稿材料</w:t>
            </w:r>
          </w:p>
        </w:tc>
        <w:tc>
          <w:tcPr>
            <w:tcW w:type="dxa" w:w="4252"/>
            <w:vAlign w:val="top"/>
            <w:tcMar>
              <w:top w:w="90" w:type="dxa"/>
              <w:bottom w:w="90" w:type="dxa"/>
              <w:left w:w="85" w:type="dxa"/>
              <w:right w:w="85" w:type="dxa"/>
            </w:tcMar>
          </w:tcPr>
          <w:p>
            <w:pPr>
              <w:spacing w:after="20" w:line="264" w:lineRule="auto"/>
            </w:pPr>
            <w:r>
              <w:rPr>
                <w:sz w:val="18"/>
              </w:rPr>
              <w:t>实际证据决定可投稿状态</w:t>
            </w:r>
          </w:p>
        </w:tc>
      </w:tr>
    </w:tbl>
    <w:p>
      <w:pPr>
        <w:spacing w:after="20"/>
      </w:pPr>
    </w:p>
    <w:p>
      <w:r>
        <w:t>这是条件情景，不是完成承诺。新功效若提高N，日期必须重算；伦理、设备、学校日历、招募和人时可能使其延后。工位小时不等于人时，正式采集期间不能同时假定全部成员高强度开发。</w:t>
      </w:r>
    </w:p>
    <w:p>
      <w:r>
        <w:t>建议首要次序是UP-01权威/消费者 → UP-02测量与UP-03公平教学 → UP-04主要统计 → UP-05真实早期准入与UP-06正式硬阻断接线并行。先反证最高风险，不先扩大美术或策略规模。</w:t>
      </w:r>
    </w:p>
    <w:p>
      <w:pPr>
        <w:pStyle w:val="Heading1"/>
      </w:pPr>
      <w:r>
        <w:t>8. 投稿、公开与收尾</w:t>
      </w:r>
    </w:p>
    <w:p>
      <w:r>
        <w:t>IJHCI仍为目标，但当前本包没有新增可支撑实证稿的真实结果。本次不重复检索完整期刊作者说明，不提供篇幅、匿名制、费用和周期的新数字；W-03须在提交当天核对官方说明。[P0]</w:t>
      </w:r>
    </w:p>
    <w:p>
      <w:r>
        <w:t>结果前先写问题、设计、方法、图表规格与六类结果模板；不必等阶段三。结果后由锁库输出驱动表图、摘要和讨论。所有生成辅助用途按适用政策真实披露，研究截图与结果不可由生成图替造。</w:t>
      </w:r>
    </w:p>
    <w:p>
      <w:r>
        <w:t>收尾：盲态QC、原因码冻结、锁库、揭盲、完整分析、敏感性、独立复现、主张审计、许可与数据说明、真实作者同意、提交。录用/授权是外部结果，不设为Agent可保证的任务完成条件。</w:t>
      </w:r>
    </w:p>
    <w:p>
      <w:r>
        <w:t>公开代码、合成示例、可公开派生数据与受控原始数据分层。去重HMAC不是全数据匿名化；保留与撤回按实际批准。伦理/政策适用性、量表许可和机构受理路径在本次没有重新独立证实，不把历史讨论当成真实许可。</w:t>
      </w:r>
    </w:p>
    <w:p>
      <w:pPr>
        <w:pStyle w:val="Heading1"/>
      </w:pPr>
      <w:r>
        <w:t>9. 应用升级包的准确含义</w:t>
      </w:r>
    </w:p>
    <w:p>
      <w:r>
        <w:t>包内overlay新增v1.2研究文件；脚本为README与AGENTS加入入口提示，按原任务ID改变15项任务的指定字段并追加12项任务；原58项历史条目保留，旧v1.1和运行v2.2不覆盖。</w:t>
      </w:r>
    </w:p>
    <w:p>
      <w:r>
        <w:t>脚本默认只检查。它从本地git对象核对四份源blob，要求指定HEAD和干净工作区，拒绝路径穿越、符号链接、目标冲突与未知依赖。显式应用时先外部备份，再写文件；不commit/push，不执行实验。</w:t>
      </w:r>
    </w:p>
    <w:p>
      <w:r>
        <w:t>本包的</w:t>
      </w:r>
      <w:r>
        <w:rPr>
          <w:rFonts w:ascii="Consolas" w:hAnsi="Consolas" w:eastAsia="Noto Sans CJK SC"/>
          <w:sz w:val="18"/>
        </w:rPr>
        <w:t>formal_participant_collection_allowed=false</w:t>
      </w:r>
      <w:r>
        <w:t>只是新设计合同字段，不能神奇拦截尚未读取它的旧运行器。UP-06必须真的接入各正式入口并验证拒绝路径，才可对运行强制性作出主张。这是保留的明确缺口，不隐藏在“机器权威”措辞下。</w:t>
      </w:r>
    </w:p>
    <w:p>
      <w:r>
        <w:t>若用户本地已有未推送修改，脚本应拒绝而不是reset或覆盖；由本地Agent在独立分支进行差异审查。迁移日志、原文件备份和最终diff是团队签收对象，不把本包合成测试当作真实仓库应用成功。</w:t>
      </w:r>
    </w:p>
    <w:p>
      <w:pPr>
        <w:pStyle w:val="Heading1"/>
      </w:pPr>
      <w:r>
        <w:t>10. 仍需真人或真实数据关闭的事项</w:t>
      </w:r>
    </w:p>
    <w:p>
      <w:r>
        <w:t>PANAS具体版本与授权、情绪最低关注差异、是否正式研究等效、教学预算与前测/分条件曝光顺序、纳排与分层、缺失计划、关键错误阈值、功能界值理由、最终N与停止规则、真实设备与形成性结果、机构范围、资源承诺、数据期限、真实作者同意与提交授权。</w:t>
      </w:r>
    </w:p>
    <w:p>
      <w:r>
        <w:t>这些未知项不是本交付遗漏后靠猜测补值，而是研究必须留下的冻结门。包内已经为它们提供字段、责任和阻断条件，未代填事实。</w:t>
      </w:r>
    </w:p>
    <w:p>
      <w:pPr>
        <w:pStyle w:val="Heading1"/>
      </w:pPr>
      <w:r>
        <w:t>11. 结论</w:t>
      </w:r>
    </w:p>
    <w:p>
      <w:r>
        <w:rPr>
          <w:b/>
        </w:rPr>
        <w:t>最终选择不是“原生一定更好”，也不是“原生失败就说明显式一定更好”，而是用可靠比较回答两种方案在短时情绪调节中的收益、代价和适用边界。</w:t>
      </w:r>
    </w:p>
    <w:p>
      <w:r>
        <w:t>本次把主问题从功能底线重新接回人的结果，把反向结果从补救叙事变成预先允许的发现，把可选阶段三从文字选项改成独立任务路线，同时保留真实设备、测量、伦理、功效与结果解释的严格边界。</w:t>
      </w:r>
    </w:p>
    <w:p>
      <w:r>
        <w:t>本包完成了这些升级的文件化与可测试实现辅助；它没有制造真实研究完成、机构批准或论文录用的证据。</w:t>
      </w:r>
    </w:p>
    <w:p>
      <w:pPr>
        <w:pStyle w:val="Heading1"/>
      </w:pPr>
      <w:r>
        <w:t>来源与审计追溯</w:t>
      </w:r>
    </w:p>
    <w:p>
      <w:r>
        <w:t>[C1] 本会话第一轮全流程攻击与修复。[C2] 第二轮“原生提示情绪作用是拔高还是退化”。[C3] 第三轮“失败是否也有价值”。[C4] 本次打包请求。</w:t>
      </w:r>
    </w:p>
    <w:p>
      <w:r>
        <w:t>[R1] 当前main分支元数据。[R2] 当前protocol_authority_v1.1.json。[R3] 当前05_可领取任务包.csv关键行及同快照既有读取。[R4] F-05_v2.2接口对齐基线。[R5] 当前README。</w:t>
      </w:r>
    </w:p>
    <w:p>
      <w:r>
        <w:t>[H1] 2026-08-04_Grill访谈原始总结与决策演化。[H2] 同日项目情况与顶层设计汇总。[P0] 第一轮已交付审计原文与复算，完整保留为历史而非新权威。</w:t>
      </w:r>
    </w:p>
    <w:p>
      <w:r>
        <w:t>[M1] 前轮引用的未显著解释资料（PMID 7647644）。[M2] 前轮引用的等效检验资料（DOI 10.1177/1948550617697177）。[M3] 前轮引用的因果中介方法资料。上述方法源本轮未重新阅读全文；本包新增操作化与待冻结字段明确标出。</w:t>
      </w:r>
    </w:p>
    <w:p>
      <w:r>
        <w:t>[OP1] 本次封包的交叉一致性审计：从现有训练时序与新主要ANCOVA估计目标发现条件化前测风险，提出显式待冻结修订。它是本包推导，不是三轮已经逐项确认或真实观测的事实。</w:t>
      </w:r>
    </w:p>
    <w:p>
      <w:r>
        <w:t>完整路径、访问范围、来源等级和SHA-256见</w:t>
      </w:r>
      <w:r>
        <w:rPr>
          <w:rFonts w:ascii="Consolas" w:hAnsi="Consolas" w:eastAsia="Noto Sans CJK SC"/>
          <w:sz w:val="18"/>
        </w:rPr>
        <w:t>04_来源与历史/来源索引.md</w:t>
      </w:r>
      <w:r>
        <w:t>及</w:t>
      </w:r>
      <w:r>
        <w:rPr>
          <w:rFonts w:ascii="Consolas" w:hAnsi="Consolas" w:eastAsia="Noto Sans CJK SC"/>
          <w:sz w:val="18"/>
        </w:rPr>
        <w:t>source_inventory.json</w:t>
      </w:r>
      <w:r>
        <w:t>。</w:t>
      </w:r>
    </w:p>
    <w:sectPr w:rsidR="00FC693F" w:rsidRPr="0006063C" w:rsidSect="00034616">
      <w:headerReference w:type="default" r:id="rId9"/>
      <w:footerReference w:type="default" r:id="rId10"/>
      <w:pgSz w:w="11906" w:h="16838"/>
      <w:pgMar w:top="1134" w:right="1219" w:bottom="1049" w:left="1219"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内部设计审计 · 非机构批准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color w:val="777777"/>
        <w:sz w:val="17"/>
      </w:rPr>
      <w:t>SRP  |  三轮讨论最终升级审计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10"/>
    </w:pPr>
    <w:rPr>
      <w:rFonts w:ascii="Times New Roman" w:hAnsi="Times New Roman" w:eastAsia="Noto Serif CJK SC"/>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Noto Sans CJK SC"/>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eastAsia="Noto Sans CJK SC"/>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eastAsia="Noto Sans CJK SC"/>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rial" w:hAnsi="Arial" w:eastAsia="Noto Sans CJK SC"/>
      <w:b/>
      <w:color w:val="2222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20"/>
    </w:pPr>
    <w:rPr>
      <w:rFonts w:asciiTheme="majorHAnsi" w:eastAsiaTheme="majorEastAsia" w:hAnsiTheme="majorHAnsi" w:cstheme="majorBidi" w:ascii="Arial" w:hAnsi="Arial" w:eastAsia="Noto Sans CJK SC"/>
      <w:b w:val="0"/>
      <w:i/>
      <w:iCs/>
      <w:color w:val="22222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Noto Serif CJK SC"/>
      <w:b w:val="0"/>
      <w:bCs/>
      <w:color w:val="22222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SRP 项目升级最终审计 v1.2</dc:title>
  <dc:subject>三轮讨论整合：短时情绪比较、结果中立与任务依赖修复</dc:subject>
  <dc:creator>SRP 内部工作文档</dc:creator>
  <cp:keywords>SRP, v1.2, 内部审计, 研究升级, 非机构批准</cp:keywords>
  <dc:description>generated by python-docx</dc:description>
  <cp:lastModifiedBy/>
  <cp:revision>1</cp:revision>
  <dcterms:created xsi:type="dcterms:W3CDTF">2013-12-23T23:15:00Z</dcterms:created>
  <dcterms:modified xsi:type="dcterms:W3CDTF">2013-12-23T23:15:00Z</dcterms:modified>
  <cp:category/>
</cp:coreProperties>
</file>