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S02 呼吸事件周期与在线PF任务现状审阅</w:t>
      </w:r>
    </w:p>
    <w:p>
      <w:r>
        <w:t>审阅日期 2026-09-28    任务 S-02</w:t>
      </w:r>
    </w:p>
    <w:p>
      <w:pPr>
        <w:pStyle w:val="Heading1"/>
      </w:pPr>
      <w:r>
        <w:t>一 当前结论</w:t>
      </w:r>
    </w:p>
    <w:p>
      <w:r>
        <w:t>S-02仍WAIT_DEP、未领取；四结构检测、在线PF和真实双人标注尚未交付。旧评分设计已实际归档，118项软件回归与合同检查通过；A-03冻结副本保持原文，不能用旧综合分替代正式执行质量。</w:t>
      </w:r>
    </w:p>
    <w:p>
      <w:r>
        <w:t>依赖S-01、R-01，约5人日，岗位P-ANALYSIS。实际领取人、分支及复核人为空；S-01尚未完成，现有原型不能推进本包DONE。</w:t>
      </w:r>
    </w:p>
    <w:p>
      <w:pPr>
        <w:pStyle w:val="Heading1"/>
      </w:pPr>
      <w:r>
        <w:t>二 目标与完成标准</w:t>
      </w:r>
    </w:p>
    <w:p>
      <w:r>
        <w:t>交付四结构事件、周期/步骤边界、在线PF和规则配置。AC1双人标注周期F1≥0.85；AC2边界MAE≤0.50秒；AC3在线离线差达到冻结目标。后者、结构容差和覆盖门未冻结。</w:t>
      </w:r>
    </w:p>
    <w:p>
      <w:r>
        <w:t>技能是事件检测、状态机、盲态标注及Python测试，沿用L-DSP/L-PYTEST国内资料。五天过程由输入定义、事件识别、机会判定、重算交接和实测复核组成。</w:t>
      </w:r>
    </w:p>
    <w:p>
      <w:pPr>
        <w:pStyle w:val="Heading1"/>
      </w:pPr>
      <w:r>
        <w:t>三 实际交付</w:t>
      </w:r>
    </w:p>
    <w:p>
      <w:r>
        <w:t>建立固定五目录、当前事件合同与结构化总结，明确storm四步、heat/snow两步、fade三步；未知Actual保留合法空身份。</w:t>
      </w:r>
    </w:p>
    <w:p>
      <w:r>
        <w:t>旧评分设计归入本包archive，活动AGENTS和技术README订正；ScoringModel头注释不再把旧开发版本当作正式合同或已验证独立通路。函数行为未改，真实算法没有新交付。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核对任务书、F-05步骤身份、D-02原生批次、S-01质量及离线机会PF定义，再完整阅读旧评分。四维calm_index、25Hz呼吸与EDA方案不适用于当前正式链。</w:t>
      </w:r>
    </w:p>
    <w:p>
      <w:r>
        <w:t>归档后独立包校验发现A-03原来源缺失；登记精确迁移，生成器与校验器读取保留原文，同时仍检查冻结哈希。没有更新进行中输入身份或重生成其副本。</w:t>
      </w:r>
    </w:p>
    <w:p>
      <w:pPr>
        <w:pStyle w:val="Heading1"/>
      </w:pPr>
      <w:r>
        <w:t>五 验证与结果</w:t>
      </w:r>
    </w:p>
    <w:p>
      <w:r>
        <w:t>专项118 passed，包括旧信号回归、87项协议及17项当前交接检查；四天气空Actual、重复相位独立步骤、缺实例拒绝、calm_index拒绝、迁移等价和未登记路径不重定向通过。</w:t>
      </w:r>
    </w:p>
    <w:p>
      <w:r>
        <w:t>根pytest635 passed；71项注册表及5个分发包47份快照通过，四项哈希策略回归通过。这些结果不包含真实F1、MAE、在线离线差或SDK/设备运行。</w:t>
      </w:r>
    </w:p>
    <w:p>
      <w:pPr>
        <w:pStyle w:val="Heading1"/>
      </w:pPr>
      <w:r>
        <w:t>六 偏离与修复闭环</w:t>
      </w:r>
    </w:p>
    <w:p>
      <w:r>
        <w:t>旧评分作为活动设计入口的冲突已关闭，历史原文与A-03冻结引用分开；迁移兼容只允许登记的任务、状态和来源，不改变验收或放过内容漂移。</w:t>
      </w:r>
    </w:p>
    <w:p>
      <w:r>
        <w:t>机会完成率、可观测PF、保守PF分别保留分母；技术不可观测不改为执行不符合。四模块各25%，缺失不重新平均；PF功能护栏不隐去预设情绪结果。</w:t>
      </w:r>
    </w:p>
    <w:p>
      <w:pPr>
        <w:pStyle w:val="Heading1"/>
      </w:pPr>
      <w:r>
        <w:t>七 目录与文件整理</w:t>
      </w:r>
    </w:p>
    <w:p>
      <w:r>
        <w:t>评分模型设计实际从旧目录迁出；归档README说明历史用途与未核验引用。共享旧原型仍供main.py开发入口使用，继续留模块而不复制兼容代码。</w:t>
      </w:r>
    </w:p>
    <w:p>
      <w:r>
        <w:t>S-02固定输入、执行、证据、输出与归档齐备。A-03冻结副本没有归档说明污染；影响记录指定其负责人按既有流程处理来源变更。根目录整体迁移仍继续。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D-01/D-02提供原生包与时间，S-01提供同步及质量；P-01提供目标和流程，S-02独立估计Actual，不复制Target或接管顺序。P-02保存事件、机会和配置版本。</w:t>
      </w:r>
    </w:p>
    <w:p>
      <w:r>
        <w:t>A-01按同一真实输入独立重算，A-03/U12-04冻结正式计分与缺失；U-02/T-01只消费实际状态和降级，I-01验证真机全链。当前检测、实测标注和责任人仍缺，不能解锁下游。</w:t>
      </w:r>
    </w:p>
    <w:p>
      <w:pPr>
        <w:pStyle w:val="Heading1"/>
      </w:pPr>
      <w:r>
        <w:t>九 审阅与责任签收</w:t>
      </w:r>
    </w:p>
    <w:p>
      <w:r>
        <w:t>本轮规范化不改变WAIT_DEP或历史签署。实际成员领取后实施，提供双人盲态标注及差值报告，再申请独立复核和真实责任人签收；没有取得这些证据。</w:t>
      </w:r>
    </w:p>
    <w:p>
      <w:r>
        <w:t>历史审核人 未签署    日期 尚未发生</w:t>
      </w:r>
    </w:p>
    <w:p>
      <w:r>
        <w:t>本轮Codex只做规范化、入口修正与软件检查；没有真实事件检测验收、双人标注或第二人签收，不代填PASS。</w:t>
      </w:r>
    </w:p>
    <w:p>
      <w:pPr>
        <w:pStyle w:val="Heading1"/>
      </w:pPr>
      <w:r>
        <w:t>十 收尾与下一包</w:t>
      </w:r>
    </w:p>
    <w:p>
      <w:r>
        <w:t>累计21/71包，剩余50，下一V-05。修复Agent入口及迁移消费者后生成本Word和串联审阅，明确路径提交推送；整个双层目录目标未完成。</w:t>
      </w:r>
    </w:p>
    <w:p>
      <w:pPr>
        <w:pStyle w:val="Heading1"/>
      </w:pPr>
      <w:r>
        <w:t>十一 审阅来源</w:t>
      </w:r>
    </w:p>
    <w:p>
      <w:r>
        <w:t>依据注册表、离线机会定义、当前v1.2研究权威、F-05合同、原型源码和A-03冻结包。当前事实、历史原文与待完成事项分开，不补造真实数据。</w:t>
      </w:r>
    </w:p>
    <w:p>
      <w:hyperlink r:id="rId10">
        <w:r>
          <w:t>当前事件与在线PF交接</w:t>
        </w:r>
      </w:hyperlink>
    </w:p>
    <w:p>
      <w:hyperlink r:id="rId11">
        <w:r>
          <w:t>软件验证记录</w:t>
        </w:r>
      </w:hyperlink>
    </w:p>
    <w:p>
      <w:hyperlink r:id="rId12">
        <w:r>
          <w:t>A-03冻结输入影响</w:t>
        </w:r>
      </w:hyperlink>
    </w:p>
    <w:p>
      <w:hyperlink r:id="rId13">
        <w:r>
          <w:t>离线机会定义</w:t>
        </w:r>
      </w:hyperlink>
    </w:p>
    <w:p>
      <w:hyperlink r:id="rId14">
        <w:r>
          <w:t>国内技能资料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S-02/outputs/current-events.md" TargetMode="External"/><Relationship Id="rId11" Type="http://schemas.openxmlformats.org/officeDocument/2006/relationships/hyperlink" Target="file:///D:/Agent/srp/agent/tasks/S-02/evidence/verification.json" TargetMode="External"/><Relationship Id="rId12" Type="http://schemas.openxmlformats.org/officeDocument/2006/relationships/hyperlink" Target="file:///D:/Agent/srp/agent/tasks/S-02/evidence/consumer-impact.md" TargetMode="External"/><Relationship Id="rId13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2_%E7%A6%BB%E7%BA%BF%E5%A4%84%E7%90%86%E4%B8%8E%E7%A7%91%E7%A0%94%E5%88%86%E6%9E%90/03_%E5%91%BC%E5%90%B8%E4%BA%8B%E4%BB%B6%E4%B8%8EProtocol_Fidelity.md" TargetMode="External"/><Relationship Id="rId14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4_%E5%9B%A2%E9%98%9F%E4%BB%BB%E5%8A%A1%E4%B8%8E%E9%A1%B9%E7%9B%AE%E6%B2%BB%E7%90%86/08_%E4%BB%BB%E5%8A%A1%E6%8A%80%E8%83%BD%E4%B8%8E%E5%9B%BD%E5%86%85%E5%AD%A6%E4%B9%A0%E8%B5%84%E6%96%99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