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01 主线治理与消费者迁移审阅</w:t>
      </w:r>
    </w:p>
    <w:p>
      <w:r>
        <w:t>审阅日期 2026-09-29    任务 U12-01</w:t>
      </w:r>
    </w:p>
    <w:p>
      <w:pPr>
        <w:pStyle w:val="Heading1"/>
      </w:pPr>
      <w:r>
        <w:t>一 当前结论</w:t>
      </w:r>
    </w:p>
    <w:p>
      <w:r>
        <w:t>U12-01原治理实现保持DONE。旧说明、消费者清单与一次性签收工具已实际归档；两个已签收候选的滞后状态已修正，在研冻结输入仍核对原件。正式运行接线、真实准入和参数冻结未完成。</w:t>
      </w:r>
    </w:p>
    <w:p>
      <w:r>
        <w:t>固定任务2人日，无前置；原领取人Codex，历史分支codex/u12-01-governance-migration。原候选、签名和范围保持，不把原签收扩为当前运行、设备或研究准入。</w:t>
      </w:r>
    </w:p>
    <w:p>
      <w:pPr>
        <w:pStyle w:val="Heading1"/>
      </w:pPr>
      <w:r>
        <w:t>二 目标与完成标准</w:t>
      </w:r>
    </w:p>
    <w:p>
      <w:r>
        <w:t>AC1冻结来源与版本可追溯；AC2不恢复480秒、不把原生等同隐藏、正式入口列未关闭项；AC3绑定原提交与独立/真人复核，不代签外部条件。</w:t>
      </w:r>
    </w:p>
    <w:p>
      <w:r>
        <w:t>四段为版本对齐、15消费者核对、主线冲突处置和限定范围交接。原18项DONE与A-03冻结输入保留；新研究口径不改写v2.1/v2.2运行合同。</w:t>
      </w:r>
    </w:p>
    <w:p>
      <w:pPr>
        <w:pStyle w:val="Heading1"/>
      </w:pPr>
      <w:r>
        <w:t>三 实际交付</w:t>
      </w:r>
    </w:p>
    <w:p>
      <w:r>
        <w:t>固定TASK及五目录、12项真实来源、当前治理说明与机器状态、七行冲突矩阵、归档原件及验证入口。当前清单仍在共享治理位置唯一维护，现行消费者无需读取重复副本。</w:t>
      </w:r>
    </w:p>
    <w:p>
      <w:r>
        <w:t>U12-02步骤候选和U12-04新SAP/合成规格状态由待复核改为限定候选已签收；真实标注/运行、REAL/CAL及参数冻结仍缺。业务状态和在研快照未更新。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PANAS负性情绪后测经前测校正，native-minus-abstract负值偏向原生。机会PF为独立功能护栏、SCCI为操纵检查，功能失败不隐去有效预设情绪结果；不显著不是反向优势或确认性等效。</w:t>
      </w:r>
    </w:p>
    <w:p>
      <w:r>
        <w:t>四天气固定镜头、双条件、800秒推荐核心及Unity独立体验保留。教学测量完整旅程另计，前测在分条件教学前的最终时序和正式N/界值仍待冻结。</w:t>
      </w:r>
    </w:p>
    <w:p>
      <w:pPr>
        <w:pStyle w:val="Heading1"/>
      </w:pPr>
      <w:r>
        <w:t>五 验证与结果</w:t>
      </w:r>
    </w:p>
    <w:p>
      <w:r>
        <w:t>41专项通过，覆盖原签收身份、归档字节、15消费者、六个运行缺口、在研原件/当前读取区分及G-03交接。原588根回归和23专项仅是历史记录，不充作本轮结果。</w:t>
      </w:r>
    </w:p>
    <w:p>
      <w:r>
        <w:t>根635项回归、协议/治理/71项注册及5分发包/61快照通过，原始输出见verification.json；没有运行Unity/TD、真实研究、外部备份恢复或重新启动独立Agent。</w:t>
      </w:r>
    </w:p>
    <w:p>
      <w:pPr>
        <w:pStyle w:val="Heading1"/>
      </w:pPr>
      <w:r>
        <w:t>六 偏离与修复闭环</w:t>
      </w:r>
    </w:p>
    <w:p>
      <w:r>
        <w:t>首次README移动因归档导航同名失败，核对后恢复本轮开始时干净HEAD原件，再改名移动，字节哈希与移动前一致。</w:t>
      </w:r>
    </w:p>
    <w:p>
      <w:r>
        <w:t>首次分发验证发现U12-03/U12-06的旧清单hash drift。登记原件迁移，让冻结来源解析优先按明确映射读取归档；READY/DONE和未登记路径仍读当前版本，未刷新快照或ID。</w:t>
      </w:r>
    </w:p>
    <w:p>
      <w:pPr>
        <w:pStyle w:val="Heading1"/>
      </w:pPr>
      <w:r>
        <w:t>七 目录与文件整理</w:t>
      </w:r>
    </w:p>
    <w:p>
      <w:r>
        <w:t>旧说明、清单及一次性签收脚本实际迁入archive；原位置README指向当前Agent交接。原签收报告、acceptance、adoption_record和旧证据绑定未改。</w:t>
      </w:r>
    </w:p>
    <w:p>
      <w:r>
        <w:t>共享治理迁移/冻结/验证工具有真实测试消费者，继续唯一维护；全部根业务目录收拢到human/agent和运行引用修复仍待后续完成。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U12-02交步骤测量，U12-03交公平教学，U12-04交新SAP候选，U12-06补六正式入口，U12-09追溯六处旧工作区字节身份，U12-11冻结真实参数。清单false不会自动成为旧程序运行保护。</w:t>
      </w:r>
    </w:p>
    <w:p>
      <w:r>
        <w:t>核心A-05→U12-10→A-06→W-02→W-03；实际扩展另需A-04/U12-08及真实活动记录。W-04消费U12-12部署决定；路线元数据PASS仍authorization=false，不代替活动和投稿批准。</w:t>
      </w:r>
    </w:p>
    <w:p>
      <w:pPr>
        <w:pStyle w:val="Heading1"/>
      </w:pPr>
      <w:r>
        <w:t>九 审阅与责任签收</w:t>
      </w:r>
    </w:p>
    <w:p>
      <w:r>
        <w:t>Pascal原定向独立复核范围及傅钧烨真实签收保留。本轮作者Agent只整理与复测，未取得新签署，不把历史审查复制成当前独立审查。</w:t>
      </w:r>
    </w:p>
    <w:p>
      <w:r>
        <w:t>历史审核人 傅钧烨    日期 2026-09-08 +08:00</w:t>
      </w:r>
    </w:p>
    <w:p>
      <w:r>
        <w:t>历史审核提交 47c81744884ae380e047cafb722aeb332c8cda29</w:t>
      </w:r>
    </w:p>
    <w:p>
      <w:r>
        <w:t>原独立Agent Pascal定向复核，傅钧烨审阅提交和已有验证后签收治理实现；不是审核人重跑测试。签收提交8d75f1a97e91d9d6588d4cccf4492ab73e716826。本轮无新独立复核和真人签署。</w:t>
      </w:r>
    </w:p>
    <w:p>
      <w:pPr>
        <w:pStyle w:val="Heading1"/>
      </w:pPr>
      <w:r>
        <w:t>十 收尾与下一包</w:t>
      </w:r>
    </w:p>
    <w:p>
      <w:r>
        <w:t>累计60/71包规范化，余11，下一U12-02。U12-01原业务DONE范围不变；根目录整体物理迁移和运行引用修复尚未完成。</w:t>
      </w:r>
    </w:p>
    <w:p>
      <w:pPr>
        <w:pStyle w:val="Heading1"/>
      </w:pPr>
      <w:r>
        <w:t>十一 审阅来源</w:t>
      </w:r>
    </w:p>
    <w:p>
      <w:r>
        <w:t>现行注册、治理/研究协议、15消费者、原签收报告与JSON、旧证据绑定、A-03影响及核心/扩展路线。外部备份仅保留历史位置记录，本轮未证实其存在。</w:t>
      </w:r>
    </w:p>
    <w:p>
      <w:hyperlink r:id="rId10">
        <w:r>
          <w:t>当前主线与消费者交接</w:t>
        </w:r>
      </w:hyperlink>
    </w:p>
    <w:p>
      <w:hyperlink r:id="rId11">
        <w:r>
          <w:t>原签收与当前缺口</w:t>
        </w:r>
      </w:hyperlink>
    </w:p>
    <w:p>
      <w:hyperlink r:id="rId12">
        <w:r>
          <w:t>唯一活动消费者清单</w:t>
        </w:r>
      </w:hyperlink>
    </w:p>
    <w:p>
      <w:hyperlink r:id="rId13">
        <w:r>
          <w:t>本轮复测</w:t>
        </w:r>
      </w:hyperlink>
    </w:p>
    <w:p>
      <w:hyperlink r:id="rId14">
        <w:r>
          <w:t>归档和冻结输入修复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1/outputs/current-governance.md" TargetMode="External"/><Relationship Id="rId11" Type="http://schemas.openxmlformats.org/officeDocument/2006/relationships/hyperlink" Target="file:///D:/Agent/srp/agent/tasks/U12-01/outputs/current-governance.json" TargetMode="External"/><Relationship Id="rId12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u12_upgrade/consumers.json" TargetMode="External"/><Relationship Id="rId13" Type="http://schemas.openxmlformats.org/officeDocument/2006/relationships/hyperlink" Target="file:///D:/Agent/srp/agent/tasks/U12-01/evidence/verification.json" TargetMode="External"/><Relationship Id="rId14" Type="http://schemas.openxmlformats.org/officeDocument/2006/relationships/hyperlink" Target="file:///D:/Agent/srp/agent/tasks/U12-01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