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E03 Level C技术关闭与冻结交接审阅</w:t>
      </w:r>
    </w:p>
    <w:p>
      <w:r>
        <w:t>审阅日期 2026-09-29    任务 E-03</w:t>
      </w:r>
    </w:p>
    <w:p>
      <w:pPr>
        <w:pStyle w:val="Heading1"/>
      </w:pPr>
      <w:r>
        <w:t>一 当前结论</w:t>
      </w:r>
    </w:p>
    <w:p>
      <w:r>
        <w:t>E-03保持BLOCKED_EXTERNAL、未领取未签收。真实批次汇总、技术报告/配置、校准和研究冻结分开；补齐Level C活动矩阵的B-01采集范围，许可仍待回执，不推定已放行。</w:t>
      </w:r>
    </w:p>
    <w:p>
      <w:r>
        <w:t>约5人日，依赖Q-03/E-02/B-01。实际工具、真人关闭和批次尚未交付，E-03没有真实报告、冻结配置或签名；空提纲不作48人预试证据。</w:t>
      </w:r>
    </w:p>
    <w:p>
      <w:pPr>
        <w:pStyle w:val="Heading1"/>
      </w:pPr>
      <w:r>
        <w:t>二 目标与完成标准</w:t>
      </w:r>
    </w:p>
    <w:p>
      <w:r>
        <w:t>AC1全部真实批次QC与实际覆盖/退出有据可查；AC2技术门具备指标、单位、结构/分母、阈值来源和实测判断，缺失不判通过；AC3真实报告/配置/构建身份一致且由另一人审核。</w:t>
      </w:r>
    </w:p>
    <w:p>
      <w:r>
        <w:t>五段为接收范围、原件人数、盲态汇总、技术关闭候选及下游签收；TASK明确真实责任角色和继承中文教程，当前待实名。</w:t>
      </w:r>
    </w:p>
    <w:p>
      <w:pPr>
        <w:pStyle w:val="Heading1"/>
      </w:pPr>
      <w:r>
        <w:t>三 实际交付</w:t>
      </w:r>
    </w:p>
    <w:p>
      <w:r>
        <w:t>TASK与五目录、18项来源、当前关闭说明和缺口JSON、未执行报告提纲及软件核查建立。修订步骤9两导航和手册通用步骤，区分Q-03工具、B-01执行、E-03关闭。</w:t>
      </w:r>
    </w:p>
    <w:p>
      <w:r>
        <w:t>资格矩阵INSTITUTION_LEVEL_C由仅E-03补为B-01/E-03，原状态和空回执保留；记录U12-03/U12-06影响，不替换冻结manifest或输入声明。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48/各24仍技术锚点，按分配平衡，实际完成和技术有效样本另报；退出不足由真实负责人裁定，不定向补人或删除失败批次。</w:t>
      </w:r>
    </w:p>
    <w:p>
      <w:r>
        <w:t>S-02周期F1 0.85/边界MAE0.50秒工程AC保留；旧逐事件F1 0.90/0.80及其他门不自动冻结。指标层级与单位不能互换，未评估和明确NO_GO分别记录。</w:t>
      </w:r>
    </w:p>
    <w:p>
      <w:pPr>
        <w:pStyle w:val="Heading1"/>
      </w:pPr>
      <w:r>
        <w:t>五 验证与结果</w:t>
      </w:r>
    </w:p>
    <w:p>
      <w:r>
        <w:t>130项专项通过，覆盖实际活动范围、冻结输入身份、空提纲、CAL依赖方向、当前指标边界、B-01/Q-03/G-05及既有存储合成；完整结果见verification.json。</w:t>
      </w:r>
    </w:p>
    <w:p>
      <w:r>
        <w:t>历史协议兼容、注册71项、分发5包61快照与根回归635项通过；软件检查不证明真人、外部延迟、真实QC、配置冻结或机构批准。</w:t>
      </w:r>
    </w:p>
    <w:p>
      <w:pPr>
        <w:pStyle w:val="Heading1"/>
      </w:pPr>
      <w:r>
        <w:t>六 偏离与修复闭环</w:t>
      </w:r>
    </w:p>
    <w:p>
      <w:r>
        <w:t>修复真实采集B-01未在Level C资格行显式列出的遗漏；只补待批准范围，不把文档修改声称为运行门已拦截。冻结输入保留，影响记录待任务负责人审阅。</w:t>
      </w:r>
    </w:p>
    <w:p>
      <w:r>
        <w:t>明确技术关闭、CAL和研究冻结三份交付，防止反向等待；算法调参后同批表现不伪装独立验证。Actual不抄Target，未知null，软件回执不冒充外部显示。</w:t>
      </w:r>
    </w:p>
    <w:p>
      <w:pPr>
        <w:pStyle w:val="Heading1"/>
      </w:pPr>
      <w:r>
        <w:t>七 目录与文件整理</w:t>
      </w:r>
    </w:p>
    <w:p>
      <w:r>
        <w:t>旧13/19已在历史材料，13标SUPERSEDED，19保留UNASSESSED及旧人数口径；旧步骤9原件由Q-03/archive和历史验证器消费，本包不复制原文或伪造归档。当前导航与报告提纲在Agent层。</w:t>
      </w:r>
    </w:p>
    <w:p>
      <w:r>
        <w:t>受限原件及填表留获批仓库外，Word从执行事实生成；业务状态未变，根目录整体双层迁移仍未完成。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Q-03供盲态工具，E-02供真实修订关闭，B-01供全部实例/六类原件/QC，I/S供独立事件及外部时钟显示；许可按B-01/E-03实际活动范围，不凭材料存在放行。</w:t>
      </w:r>
    </w:p>
    <w:p>
      <w:r>
        <w:t>E-03交盲态技术关闭和精确候选给A-03-CAL，CAL在REAL与E-03之后，U12-11/G-03再做研究冻结。最终N/界值不由本轮填写；主要情绪比较独立报告，可选阶段三不是核心论文前置。</w:t>
      </w:r>
    </w:p>
    <w:p>
      <w:pPr>
        <w:pStyle w:val="Heading1"/>
      </w:pPr>
      <w:r>
        <w:t>九 审阅与责任签收</w:t>
      </w:r>
    </w:p>
    <w:p>
      <w:r>
        <w:t>关闭负责人、数据/工具/事件/标注及第三裁定、校准、研究冻结和另一人复核未实名。签收仅能绑定实际报告、配置与版本；当前全部真实结果/签名为空。</w:t>
      </w:r>
    </w:p>
    <w:p>
      <w:r>
        <w:t>历史审核人 未签收    日期 无</w:t>
      </w:r>
    </w:p>
    <w:p>
      <w:r>
        <w:t>没有真实Level C关闭签收，本轮仅规范化和软件核查，未新增独立Agent复审或真人署名。</w:t>
      </w:r>
    </w:p>
    <w:p>
      <w:pPr>
        <w:pStyle w:val="Heading1"/>
      </w:pPr>
      <w:r>
        <w:t>十 收尾与下一包</w:t>
      </w:r>
    </w:p>
    <w:p>
      <w:r>
        <w:t>累计46/71，剩余25，下一G-03。E-03仍等待真实批次、门定义、独立验证及签署，不把规范化或合成检查当业务DONE；根目录整体迁移继续。</w:t>
      </w:r>
    </w:p>
    <w:p>
      <w:pPr>
        <w:pStyle w:val="Heading1"/>
      </w:pPr>
      <w:r>
        <w:t>十一 审阅来源</w:t>
      </w:r>
    </w:p>
    <w:p>
      <w:r>
        <w:t>实际注册、资格矩阵与影响记录、当前Level C/批次、A-03里程碑、S-02指标、I-01与P-02合同及软件结果。本轮没有新外部搜索、真人活动、Unity/TD运行或新签署。</w:t>
      </w:r>
    </w:p>
    <w:p>
      <w:hyperlink r:id="rId10">
        <w:r>
          <w:t>技术关闭与研究冻结交接</w:t>
        </w:r>
      </w:hyperlink>
    </w:p>
    <w:p>
      <w:hyperlink r:id="rId11">
        <w:r>
          <w:t>真实交付与责任缺口</w:t>
        </w:r>
      </w:hyperlink>
    </w:p>
    <w:p>
      <w:hyperlink r:id="rId12">
        <w:r>
          <w:t>未执行报告提纲</w:t>
        </w:r>
      </w:hyperlink>
    </w:p>
    <w:p>
      <w:hyperlink r:id="rId13">
        <w:r>
          <w:t>活动范围与冻结输入影响</w:t>
        </w:r>
      </w:hyperlink>
    </w:p>
    <w:p>
      <w:hyperlink r:id="rId14">
        <w:r>
          <w:t>软件核查与回归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E-03/outputs/current-closeout.md" TargetMode="External"/><Relationship Id="rId11" Type="http://schemas.openxmlformats.org/officeDocument/2006/relationships/hyperlink" Target="file:///D:/Agent/srp/agent/tasks/E-03/outputs/current-closeout.json" TargetMode="External"/><Relationship Id="rId12" Type="http://schemas.openxmlformats.org/officeDocument/2006/relationships/hyperlink" Target="file:///D:/Agent/srp/agent/tasks/E-03/outputs/closeout-template.json" TargetMode="External"/><Relationship Id="rId13" Type="http://schemas.openxmlformats.org/officeDocument/2006/relationships/hyperlink" Target="file:///D:/Agent/srp/00-%E9%A1%B9%E7%9B%AE%E7%AE%A1%E7%90%86/01-%E9%A1%B9%E7%9B%AE%E7%AB%A0%E7%A8%8B%E4%B8%8E%E8%A7%84%E5%88%92/2026-08-05_SRP_IJHCI_%E5%85%A8%E9%A1%B9%E7%9B%AE1-12%E6%AD%A5%E8%A7%84%E5%88%92%E8%AE%BE%E8%AE%A1%E5%8C%85_v1.0/24_%E5%9B%A2%E9%98%9F%E4%BB%BB%E5%8A%A1%E4%B8%8E%E9%A1%B9%E7%9B%AE%E6%B2%BB%E7%90%86/audit_upgrade/input_impacts/E03_LevelC_activity_scope.json" TargetMode="External"/><Relationship Id="rId14" Type="http://schemas.openxmlformats.org/officeDocument/2006/relationships/hyperlink" Target="file:///D:/Agent/srp/agent/tasks/E-03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