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06 正式入口研究准入接线审阅</w:t>
      </w:r>
    </w:p>
    <w:p>
      <w:r>
        <w:t>审阅日期 2026-09-29    任务 U12-06</w:t>
      </w:r>
    </w:p>
    <w:p>
      <w:pPr>
        <w:pStyle w:val="Heading1"/>
      </w:pPr>
      <w:r>
        <w:t>一 当前结论</w:t>
      </w:r>
    </w:p>
    <w:p>
      <w:r>
        <w:t>U12-06由傅钧烨领取且仍IN_PROGRESS。五份旧原文已归档，当前范围与六消费者缺口明确，领取包字节及身份保持；本轮规范化和旧软件复测不等于研究v1.2正式接线完成。</w:t>
      </w:r>
    </w:p>
    <w:p>
      <w:r>
        <w:t>固定任务4人日，依赖U12-01/F-01/P-01/G-02；实施分支codex/u12-06-formal-gate。历史领取时间缺失，不补造；本轮整理分支不替代成员实施候选。</w:t>
      </w:r>
    </w:p>
    <w:p>
      <w:pPr>
        <w:pStyle w:val="Heading1"/>
      </w:pPr>
      <w:r>
        <w:t>二 目标与完成标准</w:t>
      </w:r>
    </w:p>
    <w:p>
      <w:r>
        <w:t>AC1冻结输入、版本与来源保留，变更明确影响；AC2正式入口缺批准、冻结或真实链实际拒绝，历史v1.1和运行v2.2不改写；AC3绑定实现证据、独立复核和真实第二人，不代签外部条件。</w:t>
      </w:r>
    </w:p>
    <w:p>
      <w:r>
        <w:t>过程为输入及失败复现、共享模块实际接线、逐入口负测、候选复核交接；本轮仅整理和现有行为核查，未接管成员开发或关闭验收。</w:t>
      </w:r>
    </w:p>
    <w:p>
      <w:pPr>
        <w:pStyle w:val="Heading1"/>
      </w:pPr>
      <w:r>
        <w:t>三 实际交付</w:t>
      </w:r>
    </w:p>
    <w:p>
      <w:r>
        <w:t>固定TASK和五目录，六消费者当前说明、版本分层、真实缺口、源索引、现有fixture观测与复测入口。旧候选四文件及READY/未领取内容核验实际归档，旧入口改为当前导航。</w:t>
      </w:r>
    </w:p>
    <w:p>
      <w:r>
        <w:t>领取包全部字节与本轮前提交比对，候选d601、输入ID3D3852保持；原task_input迁移明确登记，让分发器继续核对原件，不刷新在研输入。共享业务代码本轮不改。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研究1.2、运行Schema2.2与传输配置1.1职责不同；不能把全部版本字符串改成1.2，也不能以旧研究分类器替代运行门。</w:t>
      </w:r>
    </w:p>
    <w:p>
      <w:r>
        <w:t>六消费者为核心prepare/start、readiness、TCP、分配揭示、耐久记录与Unity正式构建。TD请求归T-02；各入口须在不可逆展示/揭示之前拒绝，教学暴露可能早于核心start。</w:t>
      </w:r>
    </w:p>
    <w:p>
      <w:pPr>
        <w:pStyle w:val="Heading1"/>
      </w:pPr>
      <w:r>
        <w:t>五 验证与结果</w:t>
      </w:r>
    </w:p>
    <w:p>
      <w:r>
        <w:t>246项专项7.93秒通过，含五原件、候选manifest、全部领取包字节/身份、迁移解析、六PENDING与当前注册、真实入口，以及P-01/P-02/X-01现有软件回归。</w:t>
      </w:r>
    </w:p>
    <w:p>
      <w:r>
        <w:t>默认formal依赖拒绝，合成formal_capable适配器到PREPARED；未读取真实研究批准、未发TCP/UDP或登记真实暴露。根635项52.31秒与协议/治理/注册/分发通过，不代表新研究正式接线完成。</w:t>
      </w:r>
    </w:p>
    <w:p>
      <w:pPr>
        <w:pStyle w:val="Heading1"/>
      </w:pPr>
      <w:r>
        <w:t>六 偏离与修复闭环</w:t>
      </w:r>
    </w:p>
    <w:p>
      <w:r>
        <w:t>旧内容核验READY/未领取已订正为当前IN_PROGRESS，原文留档；新说明明确作者核查而非独立实现验收。活动消费者六PENDING不擅改。</w:t>
      </w:r>
    </w:p>
    <w:p>
      <w:r>
        <w:t>前三轮各一项本轮来源/导航失败：错误P-01文件名、相对路径层级和首次汇总未生成的循环链接；修实际入口并保留日志。分发要求迁移原件受Git跟踪，暂存精确原件后通过；未放宽断言或预填成功。</w:t>
      </w:r>
    </w:p>
    <w:p>
      <w:pPr>
        <w:pStyle w:val="Heading1"/>
      </w:pPr>
      <w:r>
        <w:t>七 目录与文件整理</w:t>
      </w:r>
    </w:p>
    <w:p>
      <w:r>
        <w:t>当前交接及结构化事实在outputs；核查工具在execution；真实软件日志在evidence；输入索引在inputs；五旧原件在archive。共享运行模块仍由各自任务维护。</w:t>
      </w:r>
    </w:p>
    <w:p>
      <w:r>
        <w:t>领取TASK、FILES、manifest、inputs不变；旧task_input只迁移来源原件并记精确路径。其他在研、历史签署与注册状态不改，根目录整体迁移仍待全部包后完成。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P-01/F-05/G-02/P-02供已有底座，U12-01供研究与消费者合同，U12-11供真实数值冻结，G-03供研究准入，I-01供真实完整链。U12-06不能用空模板或合成回执代替这些证据。</w:t>
      </w:r>
    </w:p>
    <w:p>
      <w:r>
        <w:t>U12-09核对实际接线覆盖，U12-03与本包统一首核心材料暴露；T-02不得旁路Python权威，A-01/P-02离线重放不得发送控制或重新揭示/登记暴露。当前研究接线仍交领取人完成。</w:t>
      </w:r>
    </w:p>
    <w:p>
      <w:pPr>
        <w:pStyle w:val="Heading1"/>
      </w:pPr>
      <w:r>
        <w:t>九 审阅与责任签收</w:t>
      </w:r>
    </w:p>
    <w:p>
      <w:r>
        <w:t>实际领取人傅钧烨保留；独立Agent复核与真实第二人签收尚未交付。机构范围、正式准入和外部回执由真实责任人取得，不因软件绿灯推定；本轮不填写本人/他人PASS。</w:t>
      </w:r>
    </w:p>
    <w:p>
      <w:r>
        <w:t>历史审核人 独立Agent复核待执行 真实第二人另记    日期 未签署</w:t>
      </w:r>
    </w:p>
    <w:p>
      <w:r>
        <w:t>本包无实现验收或真实签收；本轮作者Agent整理和只读复测，不继承旧内容核验标题中的独立身份。</w:t>
      </w:r>
    </w:p>
    <w:p>
      <w:pPr>
        <w:pStyle w:val="Heading1"/>
      </w:pPr>
      <w:r>
        <w:t>十 收尾与下一包</w:t>
      </w:r>
    </w:p>
    <w:p>
      <w:r>
        <w:t>累计65/71包规范化，余6，下一U12-07。U12-06 IN_PROGRESS、在研身份和六接线缺口保持；全根目录人类/Agent双层物理迁移尚未完成。</w:t>
      </w:r>
    </w:p>
    <w:p>
      <w:pPr>
        <w:pStyle w:val="Heading1"/>
      </w:pPr>
      <w:r>
        <w:t>十一 审阅来源</w:t>
      </w:r>
    </w:p>
    <w:p>
      <w:r>
        <w:t>当前注册表、六消费者、研究manifest模板、P-01实际prepare/start/依赖与测试fixture、随机化存储、P-02代理和Unity构建门；原候选及旧内容核验原文、精确迁移映射与领取快照。</w:t>
      </w:r>
    </w:p>
    <w:p>
      <w:hyperlink r:id="rId10">
        <w:r>
          <w:t>当前六入口接线交接</w:t>
        </w:r>
      </w:hyperlink>
    </w:p>
    <w:p>
      <w:hyperlink r:id="rId11">
        <w:r>
          <w:t>当前状态与责任</w:t>
        </w:r>
      </w:hyperlink>
    </w:p>
    <w:p>
      <w:hyperlink r:id="rId12">
        <w:r>
          <w:t>现有fixture运行观测</w:t>
        </w:r>
      </w:hyperlink>
    </w:p>
    <w:p>
      <w:hyperlink r:id="rId13">
        <w:r>
          <w:t>本轮复测</w:t>
        </w:r>
      </w:hyperlink>
    </w:p>
    <w:p>
      <w:hyperlink r:id="rId14">
        <w:r>
          <w:t>迁移与冻结影响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6/outputs/current-runtime.md" TargetMode="External"/><Relationship Id="rId11" Type="http://schemas.openxmlformats.org/officeDocument/2006/relationships/hyperlink" Target="file:///D:/Agent/srp/agent/tasks/U12-06/outputs/current-runtime.json" TargetMode="External"/><Relationship Id="rId12" Type="http://schemas.openxmlformats.org/officeDocument/2006/relationships/hyperlink" Target="file:///D:/Agent/srp/agent/tasks/U12-06/evidence/runtime-observations.json" TargetMode="External"/><Relationship Id="rId13" Type="http://schemas.openxmlformats.org/officeDocument/2006/relationships/hyperlink" Target="file:///D:/Agent/srp/agent/tasks/U12-06/evidence/verification.json" TargetMode="External"/><Relationship Id="rId14" Type="http://schemas.openxmlformats.org/officeDocument/2006/relationships/hyperlink" Target="file:///D:/Agent/srp/agent/tasks/U12-06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