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T.C.K Sdn Bhd x MAIA</w:t>
      </w:r>
    </w:p>
    <w:p>
      <w:pPr>
        <w:jc w:val="center"/>
      </w:pPr>
      <w:r>
        <w:rPr>
          <w:b/>
          <w:color w:val="595959"/>
          <w:sz w:val="28"/>
        </w:rPr>
        <w:t>Project Scope and Meeting Links</w:t>
      </w:r>
    </w:p>
    <w:p>
      <w:pPr>
        <w:jc w:val="center"/>
      </w:pPr>
      <w:r>
        <w:rPr>
          <w:i/>
          <w:sz w:val="18"/>
        </w:rPr>
        <w:t>Prepared for implementation handover | 1 July 2026</w:t>
      </w:r>
    </w:p>
    <w:p/>
    <w:p>
      <w:pPr>
        <w:pStyle w:val="Heading1"/>
      </w:pPr>
      <w:r>
        <w:t>1. Package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01_Signed Proposal - T.C.K Sdn Bhd x MAIA Proposal.pdf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Signed proposal and commercial agreement.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02_Project Scope and Meeting Links - T.C.K Sdn Bhd x MAIA.docx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Implementation scope summary, project boundaries, and meeting recording links.</w:t>
            </w:r>
          </w:p>
        </w:tc>
      </w:tr>
    </w:tbl>
    <w:p/>
    <w:p>
      <w:pPr>
        <w:pStyle w:val="Heading1"/>
      </w:pPr>
      <w:r>
        <w:t>2. Project Overview</w:t>
      </w:r>
    </w:p>
    <w:p>
      <w:r>
        <w:rPr>
          <w:b/>
        </w:rPr>
        <w:t xml:space="preserve">Client: </w:t>
      </w:r>
      <w:r>
        <w:t>T.C.K Sdn Bhd</w:t>
      </w:r>
    </w:p>
    <w:p>
      <w:r>
        <w:rPr>
          <w:b/>
        </w:rPr>
        <w:t xml:space="preserve">Product: </w:t>
      </w:r>
      <w:r>
        <w:t>MAIA</w:t>
      </w:r>
    </w:p>
    <w:p>
      <w:r>
        <w:rPr>
          <w:b/>
        </w:rPr>
        <w:t xml:space="preserve">Signed proposal date: </w:t>
      </w:r>
      <w:r>
        <w:t>26 June 2026</w:t>
      </w:r>
    </w:p>
    <w:p>
      <w:r>
        <w:rPr>
          <w:b/>
        </w:rPr>
        <w:t xml:space="preserve">Project intent: </w:t>
      </w:r>
      <w:r>
        <w:t>Implement MAIA as an internal B2B order processing and control layer that sits on top of AutoCount. AutoCount remains the source of truth, while MAIA helps users process WhatsApp-driven orders more cleanly, prepare draft sales orders, apply agreed pricing and approval rules, support document handling, and improve operational visibility.</w:t>
      </w:r>
    </w:p>
    <w:p>
      <w:pPr>
        <w:pStyle w:val="Heading1"/>
      </w:pPr>
      <w:r>
        <w:t>3. Business Context</w:t>
      </w:r>
    </w:p>
    <w:p>
      <w:pPr>
        <w:pStyle w:val="ListBullet"/>
      </w:pPr>
      <w:r>
        <w:t>Orders are currently received mainly through WhatsApp groups.</w:t>
      </w:r>
    </w:p>
    <w:p>
      <w:pPr>
        <w:pStyle w:val="ListBullet"/>
      </w:pPr>
      <w:r>
        <w:t>Orders are manually forwarded internally and keyed into AutoCount before documents are generated.</w:t>
      </w:r>
    </w:p>
    <w:p>
      <w:pPr>
        <w:pStyle w:val="ListBullet"/>
      </w:pPr>
      <w:r>
        <w:t>Warehouse picking is coordinated separately, commonly through manually compiled Excel or Word-style lists.</w:t>
      </w:r>
    </w:p>
    <w:p>
      <w:pPr>
        <w:pStyle w:val="ListBullet"/>
      </w:pPr>
      <w:r>
        <w:t>Approximate volume discussed: around 50 orders per day and roughly 1,000 orders per month.</w:t>
      </w:r>
    </w:p>
    <w:p>
      <w:pPr>
        <w:pStyle w:val="ListBullet"/>
      </w:pPr>
      <w:r>
        <w:t>The operational risk is mainly manual checking, repeated key-in, inconsistent pricing handling, and fragmented visibility across WhatsApp, AutoCount, and internal follow-ups.</w:t>
      </w:r>
    </w:p>
    <w:p>
      <w:r>
        <w:br w:type="page"/>
      </w:r>
    </w:p>
    <w:p>
      <w:pPr>
        <w:pStyle w:val="Heading1"/>
      </w:pPr>
      <w:r>
        <w:t>4. Phase 1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Included Scope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Order intake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Internal order intake forwarding from customer WhatsApp messages to MAIA.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Draft sales order preparation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MAIA prepares draft sales orders for human review and confirmation before submission.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AutoCount-linked submission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Confirmed order outputs are submitted into AutoCount within the agreed integration scope.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Document handling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Sales order, invoice, delivery order support, and pick list support are included.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 visibility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Order status, document trail, activity trail, and agreed operational tracking are available in the backend workspace.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Warehouse handoff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Basic pick-list support and basic fulfillment status visibility through MAIA-assisted workflow.</w:t>
            </w:r>
          </w:p>
        </w:tc>
      </w:tr>
    </w:tbl>
    <w:p/>
    <w:p>
      <w:pPr>
        <w:pStyle w:val="Heading1"/>
      </w:pPr>
      <w:r>
        <w:t>5. Confirmed Customizations and Setup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Commercial Treatment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Customization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Customer grouping with markup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Allows customers to be grouped into pricing groups and applies agreed markup by group during order creation.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RM8,000 total customization value, waived / FOC. Payable amount: RM0.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Customization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Weekly base price upload / update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Allows users to update weekly item base prices using a MAIA-provided upload template. MAIA uses the latest uploaded base prices during order preparation.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RM8,000 total customization value, waived / FOC. Payable amount: RM0.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Setup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Min/max selling price guardrails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Configures minimum and maximum selling price limits so MAIA can check pricing against agreed limits.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Included as setup.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Setup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High-value order approval flow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Configures an order value threshold so orders above the threshold are routed for approval before final submission into AutoCount.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Included as setup.</w:t>
            </w:r>
          </w:p>
        </w:tc>
      </w:tr>
    </w:tbl>
    <w:p/>
    <w:p>
      <w:pPr>
        <w:pStyle w:val="Heading1"/>
      </w:pPr>
      <w:r>
        <w:t>6. Commercial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Commercial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One-time Phase 1 implementation fee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RM20,000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Customization value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RM8,000, waived / FOC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Total one-time payable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RM20,000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Monthly subscription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RM2,500/month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Monthly order volume tier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 to 2,500 orders/month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Payment terms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50% upfront upon project commencement; 50% upon completion of UAT.</w:t>
            </w:r>
          </w:p>
        </w:tc>
      </w:tr>
    </w:tbl>
    <w:p/>
    <w:p>
      <w:pPr>
        <w:pStyle w:val="Heading1"/>
      </w:pPr>
      <w:r>
        <w:t>7. Third-Party Costs Not Included in Monthly Subscription</w:t>
      </w:r>
    </w:p>
    <w:p>
      <w:pPr>
        <w:pStyle w:val="ListBullet"/>
      </w:pPr>
      <w:r>
        <w:t>Cloud hosting and cloud infrastructure charges</w:t>
      </w:r>
    </w:p>
    <w:p>
      <w:pPr>
        <w:pStyle w:val="ListBullet"/>
      </w:pPr>
      <w:r>
        <w:t>ChatGPT / OpenAI API key or usage fees</w:t>
      </w:r>
    </w:p>
    <w:p>
      <w:pPr>
        <w:pStyle w:val="ListBullet"/>
      </w:pPr>
      <w:r>
        <w:t>WhatsApp Business API charges</w:t>
      </w:r>
    </w:p>
    <w:p>
      <w:pPr>
        <w:pStyle w:val="ListBullet"/>
      </w:pPr>
      <w:r>
        <w:t>WhatsApp number registration or subscription fees</w:t>
      </w:r>
    </w:p>
    <w:p>
      <w:pPr>
        <w:pStyle w:val="ListBullet"/>
      </w:pPr>
      <w:r>
        <w:t>WhatsApp vendor / BSP charges</w:t>
      </w:r>
    </w:p>
    <w:p>
      <w:pPr>
        <w:pStyle w:val="ListBullet"/>
      </w:pPr>
      <w:r>
        <w:t>AutoCount vendor charges</w:t>
      </w:r>
    </w:p>
    <w:p>
      <w:pPr>
        <w:pStyle w:val="ListBullet"/>
      </w:pPr>
      <w:r>
        <w:t>Other third-party platform fees unless explicitly stated in writing</w:t>
      </w:r>
    </w:p>
    <w:p>
      <w:pPr>
        <w:pStyle w:val="Heading1"/>
      </w:pPr>
      <w:r>
        <w:t>8. Standard Implementation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Kickoff and workflow confirmation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Confirm order flow, user roles, AutoCount access, pricing rules, approval rules, document formats, and implementation PICs.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Configuration and integration setup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Week 2 to Week 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 up MAIA workflows, AutoCount integration, customer/item references, document handling, backend workspace, pricing setup, and approval rules.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Customization setup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Week 3 to Week 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Configure customer grouping with markup and weekly base price upload/update template.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 acceptance testing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 agreed workflows, document outputs, AutoCount submission, pricing logic, approval flow, and backend visibility.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Training and go-live support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Week 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Train agreed users, support go-live, monitor initial usage, and resolve issues within agreed scope.</w:t>
            </w:r>
          </w:p>
        </w:tc>
      </w:tr>
    </w:tbl>
    <w:p/>
    <w:p>
      <w:r>
        <w:rPr>
          <w:b/>
        </w:rPr>
        <w:t xml:space="preserve">Timeline note: </w:t>
      </w:r>
      <w:r>
        <w:t>The 6-week target depends on AutoCount access, vendor coordination, turnaround time for data/rule clarification, and timely UAT feedback.</w:t>
      </w:r>
    </w:p>
    <w:p>
      <w:pPr>
        <w:pStyle w:val="Heading1"/>
      </w:pPr>
      <w:r>
        <w:t>9. Client Inputs Required</w:t>
      </w:r>
    </w:p>
    <w:p>
      <w:pPr>
        <w:pStyle w:val="ListBullet"/>
      </w:pPr>
      <w:r>
        <w:t>Relevant system access or vendor coordination</w:t>
      </w:r>
    </w:p>
    <w:p>
      <w:pPr>
        <w:pStyle w:val="ListBullet"/>
      </w:pPr>
      <w:r>
        <w:t>Customer, item, and pricing references</w:t>
      </w:r>
    </w:p>
    <w:p>
      <w:pPr>
        <w:pStyle w:val="ListBullet"/>
      </w:pPr>
      <w:r>
        <w:t>Customer grouping rules and markup rules by customer group</w:t>
      </w:r>
    </w:p>
    <w:p>
      <w:pPr>
        <w:pStyle w:val="ListBullet"/>
      </w:pPr>
      <w:r>
        <w:t>Weekly base price structure or existing price format</w:t>
      </w:r>
    </w:p>
    <w:p>
      <w:pPr>
        <w:pStyle w:val="ListBullet"/>
      </w:pPr>
      <w:r>
        <w:t>Min/max selling price references</w:t>
      </w:r>
    </w:p>
    <w:p>
      <w:pPr>
        <w:pStyle w:val="ListBullet"/>
      </w:pPr>
      <w:r>
        <w:t>Order value approval threshold and approver names or roles</w:t>
      </w:r>
    </w:p>
    <w:p>
      <w:pPr>
        <w:pStyle w:val="ListBullet"/>
      </w:pPr>
      <w:r>
        <w:t>Sample documents and existing flow references</w:t>
      </w:r>
    </w:p>
    <w:p>
      <w:pPr>
        <w:pStyle w:val="ListBullet"/>
      </w:pPr>
      <w:r>
        <w:t>Internal PICs for review, testing, and sign-off</w:t>
      </w:r>
    </w:p>
    <w:p>
      <w:pPr>
        <w:pStyle w:val="Heading1"/>
      </w:pPr>
      <w:r>
        <w:t>10. Scope Boundaries and Exclusions</w:t>
      </w:r>
    </w:p>
    <w:p>
      <w:pPr>
        <w:pStyle w:val="ListBullet"/>
      </w:pPr>
      <w:r>
        <w:t>Full ERP replacement is not included. AutoCount remains the source of truth.</w:t>
      </w:r>
    </w:p>
    <w:p>
      <w:pPr>
        <w:pStyle w:val="ListBullet"/>
      </w:pPr>
      <w:r>
        <w:t>Full warehouse management system is not included.</w:t>
      </w:r>
    </w:p>
    <w:p>
      <w:pPr>
        <w:pStyle w:val="ListBullet"/>
      </w:pPr>
      <w:r>
        <w:t>Deeper warehouse execution logic beyond basic pick-list support is not included unless separately scoped.</w:t>
      </w:r>
    </w:p>
    <w:p>
      <w:pPr>
        <w:pStyle w:val="ListBullet"/>
      </w:pPr>
      <w:r>
        <w:t>Customer-facing ordering chatbot and full customer-facing B2B self-service ordering rollout are not included unless separately scoped.</w:t>
      </w:r>
    </w:p>
    <w:p>
      <w:pPr>
        <w:pStyle w:val="ListBullet"/>
      </w:pPr>
      <w:r>
        <w:t>Complex multi-level approval matrices beyond the agreed high-value order approval flow are not included unless separately scoped.</w:t>
      </w:r>
    </w:p>
    <w:p>
      <w:pPr>
        <w:pStyle w:val="ListBullet"/>
      </w:pPr>
      <w:r>
        <w:t>Custom dashboards or reports beyond agreed backend visibility are not included unless separately scoped.</w:t>
      </w:r>
    </w:p>
    <w:p>
      <w:pPr>
        <w:pStyle w:val="ListBullet"/>
      </w:pPr>
      <w:r>
        <w:t>Additional customizations not listed in the signed proposal are separately scoped and quoted.</w:t>
      </w:r>
    </w:p>
    <w:p>
      <w:r>
        <w:br w:type="page"/>
      </w:r>
    </w:p>
    <w:p>
      <w:pPr>
        <w:pStyle w:val="Heading1"/>
      </w:pPr>
      <w:r>
        <w:t>11. Meeting Recording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Meeting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Fireflies Link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 / Notes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Intro Meeting</w:t>
            </w:r>
          </w:p>
        </w:tc>
        <w:tc>
          <w:tcPr>
            <w:tcW w:type="dxa" w:w="3408"/>
          </w:tcPr>
          <w:p>
            <w:r/>
            <w:hyperlink r:id="rId9">
              <w:r>
                <w:rPr>
                  <w:color w:val="0563C1"/>
                  <w:u w:val="single"/>
                </w:rPr>
                <w:t>Open Fireflies recording</w:t>
              </w:r>
            </w:hyperlink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Initial discovery and business context.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Proposal Walkthrough</w:t>
            </w:r>
          </w:p>
        </w:tc>
        <w:tc>
          <w:tcPr>
            <w:tcW w:type="dxa" w:w="3408"/>
          </w:tcPr>
          <w:p>
            <w:r/>
            <w:hyperlink r:id="rId10">
              <w:r>
                <w:rPr>
                  <w:color w:val="0563C1"/>
                  <w:u w:val="single"/>
                </w:rPr>
                <w:t>Open Fireflies recording</w:t>
              </w:r>
            </w:hyperlink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Proposal walkthrough and scope discussion.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Proposal Finalization 1</w:t>
            </w:r>
          </w:p>
        </w:tc>
        <w:tc>
          <w:tcPr>
            <w:tcW w:type="dxa" w:w="3408"/>
          </w:tcPr>
          <w:p>
            <w:r/>
            <w:hyperlink r:id="rId11">
              <w:r>
                <w:rPr>
                  <w:color w:val="0563C1"/>
                  <w:u w:val="single"/>
                </w:rPr>
                <w:t>Open Fireflies recording</w:t>
              </w:r>
            </w:hyperlink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First proposal finalization discussion.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Proposal Finalization 2</w:t>
            </w:r>
          </w:p>
        </w:tc>
        <w:tc>
          <w:tcPr>
            <w:tcW w:type="dxa" w:w="3408"/>
          </w:tcPr>
          <w:p>
            <w:r/>
            <w:hyperlink r:id="rId12">
              <w:r>
                <w:rPr>
                  <w:color w:val="0563C1"/>
                  <w:u w:val="single"/>
                </w:rPr>
                <w:t>Open Fireflies recording</w:t>
              </w:r>
            </w:hyperlink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Second proposal finalization discussion.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Proposal Finalization 3</w:t>
            </w:r>
          </w:p>
        </w:tc>
        <w:tc>
          <w:tcPr>
            <w:tcW w:type="dxa" w:w="3408"/>
          </w:tcPr>
          <w:p>
            <w:r/>
            <w:hyperlink r:id="rId13">
              <w:r>
                <w:rPr>
                  <w:color w:val="0563C1"/>
                  <w:u w:val="single"/>
                </w:rPr>
                <w:t>Open Fireflies recording</w:t>
              </w:r>
            </w:hyperlink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Third proposal finalization discussion.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Proposal Finalization 4</w:t>
            </w:r>
          </w:p>
        </w:tc>
        <w:tc>
          <w:tcPr>
            <w:tcW w:type="dxa" w:w="3408"/>
          </w:tcPr>
          <w:p>
            <w:r/>
            <w:hyperlink r:id="rId14">
              <w:r>
                <w:rPr>
                  <w:color w:val="0563C1"/>
                  <w:u w:val="single"/>
                </w:rPr>
                <w:t>Open Fireflies recording</w:t>
              </w:r>
            </w:hyperlink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Final finalization discussion before signing.</w:t>
            </w:r>
          </w:p>
        </w:tc>
      </w:tr>
    </w:tbl>
    <w:p/>
    <w:p>
      <w:pPr>
        <w:pStyle w:val="Heading1"/>
      </w:pPr>
      <w:r>
        <w:t>12. Handover Note</w:t>
      </w:r>
    </w:p>
    <w:p>
      <w:r>
        <w:rPr>
          <w:b/>
        </w:rPr>
        <w:t xml:space="preserve">Important: </w:t>
      </w:r>
      <w:r>
        <w:t>The signed proposal remains the source of truth for commercial terms, scope boundaries, assumptions, and exclusions. This scope document is a practical implementation handover summary and should be read together with the signed proposal included in this ZIP package.</w:t>
      </w:r>
    </w:p>
    <w:sectPr w:rsidR="00FC693F" w:rsidRPr="0006063C" w:rsidSect="00034616">
      <w:footerReference w:type="default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T.C.K Sdn Bhd x MAIA | Project Scope and Meeting Links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fireflies.ai/view/Mindhive-x-Maxfresh-Sdn-Bhd-Introductory-Meeting::01KN3YQ7NEE125K00JR90D95Z0" TargetMode="External"/><Relationship Id="rId10" Type="http://schemas.openxmlformats.org/officeDocument/2006/relationships/hyperlink" Target="https://app.fireflies.ai/view/Mindhive-x-Maxfresh-Proposal-Walkthrough::01KPYXM8ZFHN3PV2V4QEC3E8QF" TargetMode="External"/><Relationship Id="rId11" Type="http://schemas.openxmlformats.org/officeDocument/2006/relationships/hyperlink" Target="https://app.fireflies.ai/view/Max-Fresh-Proposal-Finalization::01KTN0HVZTN5HM9KNNKG17SWW6" TargetMode="External"/><Relationship Id="rId12" Type="http://schemas.openxmlformats.org/officeDocument/2006/relationships/hyperlink" Target="https://app.fireflies.ai/view/Maxfresh-proposal-finalization::01KV7QTQCJFR723ESD495Y70CS" TargetMode="External"/><Relationship Id="rId13" Type="http://schemas.openxmlformats.org/officeDocument/2006/relationships/hyperlink" Target="https://app.fireflies.ai/view/Max-Fresh-Proposal-Finalization::01KVCN76P7NVTVNHNDCW1PQBB9" TargetMode="External"/><Relationship Id="rId14" Type="http://schemas.openxmlformats.org/officeDocument/2006/relationships/hyperlink" Target="https://app.fireflies.ai/view/Maxfresh-Finalization::01KVSBTRFBPVEBSJEF4KGPZ6KN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