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[Guide] Channel &amp; Infrastructure Setup Guide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Self-Service Instructions for WhatsApp, LLM API Keys, and AWS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t xml:space="preserve"> ___________________________________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 Sent:</w:t>
      </w:r>
      <w:r>
        <w:rPr>
          <w:rFonts w:eastAsia="等线" w:ascii="Arial" w:cs="Arial" w:hAnsi="Arial"/>
          <w:sz w:val="22"/>
        </w:rPr>
        <w:t xml:space="preserve"> ___________________________________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Why this matters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setup steps run in parallel with your main onboarding. Starting them early means MAIA can go live faster — delays here are the most common reason onboarding takes longer than expected.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start on these as soon as you receive this guide.</w:t>
      </w:r>
      <w:r>
        <w:rPr>
          <w:rFonts w:eastAsia="等线" w:ascii="Arial" w:cs="Arial" w:hAnsi="Arial"/>
          <w:sz w:val="22"/>
        </w:rPr>
        <w:t xml:space="preserve"> You do not need to wait for the requirements meeting or scope of work.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WhatsApp Business API (WABA) Setup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communicates with your customers and your internal team through WhatsApp. To connect, you need a verified WhatsApp Business API account.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1–2 hours of setup work + 3–7 business days for Meta verification. Can take longer if phone number KYC or Meta verification issues arise (see Important Warnings below).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Important Warnings — Read Before Starting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Phone number KYC (Malaysia):</w:t>
      </w:r>
      <w:r>
        <w:rPr>
          <w:rFonts w:eastAsia="等线" w:ascii="Arial" w:cs="Arial" w:hAnsi="Arial"/>
          <w:sz w:val="22"/>
        </w:rPr>
        <w:t xml:space="preserve"> Company phone numbers in Malaysia require KYC registration with your telco provider. If you don't already have a suitable company number, getting one registered and activated can take 1–2 weeks. </w:t>
      </w:r>
      <w:r>
        <w:rPr>
          <w:rFonts w:eastAsia="等线" w:ascii="Arial" w:cs="Arial" w:hAnsi="Arial"/>
          <w:b w:val="true"/>
          <w:sz w:val="22"/>
        </w:rPr>
        <w:t>Start this immediately if you need a new number.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Meta account banning risk:</w:t>
      </w:r>
      <w:r>
        <w:rPr>
          <w:rFonts w:eastAsia="等线" w:ascii="Arial" w:cs="Arial" w:hAnsi="Arial"/>
          <w:sz w:val="22"/>
        </w:rPr>
        <w:t xml:space="preserve"> Meta sometimes flags or bans new Business Manager accounts during setup — even when you've done nothing wrong. This is a known industry-wide issue. To reduce the risk: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create a new Meta Business Manager account if you already have one — use your existing one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attempt to register a phone number that is currently active on any WhatsApp app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 the setup video steps exactly — skipping steps or doing them out of order increases ban risk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get banned or restricted, </w:t>
      </w:r>
      <w:r>
        <w:rPr>
          <w:rFonts w:eastAsia="等线" w:ascii="Arial" w:cs="Arial" w:hAnsi="Arial"/>
          <w:b w:val="true"/>
          <w:sz w:val="22"/>
        </w:rPr>
        <w:t>stop immediately and contact Mindhive</w:t>
      </w:r>
      <w:r>
        <w:rPr>
          <w:rFonts w:eastAsia="等线" w:ascii="Arial" w:cs="Arial" w:hAnsi="Arial"/>
          <w:sz w:val="22"/>
        </w:rPr>
        <w:t xml:space="preserve"> before trying again. Repeated attempts after a ban make recovery harder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you'd prefer Mindhive to handle WABA setup on your behalf, let us know.</w:t>
      </w:r>
      <w:r>
        <w:rPr>
          <w:rFonts w:eastAsia="等线" w:ascii="Arial" w:cs="Arial" w:hAnsi="Arial"/>
          <w:sz w:val="22"/>
        </w:rPr>
        <w:t xml:space="preserve"> We can manage the entire process for you, including Meta Business Manager setup and verification. This is often faster and avoids common pitfalls.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Step 1 — Get a Dedicated Phone Number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need a phone number that is: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or not currently registered on WhatsApp</w:t>
      </w:r>
      <w:r>
        <w:rPr>
          <w:rFonts w:eastAsia="等线" w:ascii="Arial" w:cs="Arial" w:hAnsi="Arial"/>
          <w:sz w:val="22"/>
        </w:rPr>
        <w:t xml:space="preserve"> (personal or business)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Able to receive SMS or voice calls</w:t>
      </w:r>
      <w:r>
        <w:rPr>
          <w:rFonts w:eastAsia="等线" w:ascii="Arial" w:cs="Arial" w:hAnsi="Arial"/>
          <w:sz w:val="22"/>
        </w:rPr>
        <w:t xml:space="preserve"> (for verification)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Dedicated to MAIA</w:t>
      </w:r>
      <w:r>
        <w:rPr>
          <w:rFonts w:eastAsia="等线" w:ascii="Arial" w:cs="Arial" w:hAnsi="Arial"/>
          <w:sz w:val="22"/>
        </w:rPr>
        <w:t xml:space="preserve"> — it cannot be used for regular WhatsApp simultaneously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Registered under your company name</w:t>
      </w:r>
      <w:r>
        <w:rPr>
          <w:rFonts w:eastAsia="等线" w:ascii="Arial" w:cs="Arial" w:hAnsi="Arial"/>
          <w:sz w:val="22"/>
        </w:rPr>
        <w:t xml:space="preserve"> (KYC-compliant)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Options: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Purchase a new prepaid SIM and complete KYC registration under your company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 company landline number (Meta can verify via voice call)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Port an existing number (only if it's not currently on WhatsApp)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Important:</w:t>
      </w:r>
      <w:r>
        <w:rPr>
          <w:rFonts w:eastAsia="等线" w:ascii="Arial" w:cs="Arial" w:hAnsi="Arial"/>
          <w:sz w:val="22"/>
        </w:rPr>
        <w:t xml:space="preserve"> Once this number is registered with the WhatsApp Business API, it cannot be used with the regular WhatsApp app. This is a permanent change.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 need a new number:</w:t>
      </w:r>
      <w:r>
        <w:rPr>
          <w:rFonts w:eastAsia="等线" w:ascii="Arial" w:cs="Arial" w:hAnsi="Arial"/>
          <w:sz w:val="22"/>
        </w:rPr>
        <w:t xml:space="preserve"> Start the purchase and KYC process now. Do not wait for any other onboarding step. This is typically the longest wait in the entire setup.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Step 2 — Set Up Your WhatsApp Business Account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Watch the Mindhive WABA setup video: </w:t>
      </w:r>
      <w:r>
        <w:rPr>
          <w:rFonts w:eastAsia="等线" w:ascii="Arial" w:cs="Arial" w:hAnsi="Arial"/>
          <w:b w:val="true"/>
          <w:sz w:val="22"/>
        </w:rPr>
        <w:t>[Video link to be inserted]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video walks you through: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or using your existing Meta Business Manager account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a WhatsApp Business Account inside Business Manager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Adding your phone number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Verifying your business with Meta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Completing the Business Verification process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 encounter any errors, restrictions, or "account under review" messages during this process, stop and contact Mindhive immediately.</w:t>
      </w:r>
      <w:r>
        <w:rPr>
          <w:rFonts w:eastAsia="等线" w:ascii="Arial" w:cs="Arial" w:hAnsi="Arial"/>
          <w:sz w:val="22"/>
        </w:rPr>
        <w:t xml:space="preserve"> Do not create a new account or retry — let us help troubleshoot first.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3 — Share Access with Mindhive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your WABA is set up and verified, share the following with us: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Business Account ID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 Number ID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system user access token (the video shows how to create this)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Share credentials via the secure portal link we'll provide — never via email or WhatsApp.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If You Get Stuck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common — Meta's interface changes frequently and their verification process is unpredictable. Contact your Mindhive product team contact and we will assist. In some cases, we may need to do this on-site with you.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Common blockers and what to do: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Problem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 verification rejected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Usually a documents issue — SSM cert, address proof, or company name mismatch. Contact Mindhive with the rejection reason.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banned or restricted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immediately. Do NOT create a new account. Contact Mindhive — we have recovery procedures.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already registered on WhatsApp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need a different number, or delete the existing registration first (7-day wait period).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taking too long with telco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 up with your telco provider. If urgent, consider using a landline number instead.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Two-factor authentication issues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 Meta support directly, or let Mindhive handle it.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Bottom line:</w:t>
      </w:r>
      <w:r>
        <w:rPr>
          <w:rFonts w:eastAsia="等线" w:ascii="Arial" w:cs="Arial" w:hAnsi="Arial"/>
          <w:sz w:val="22"/>
        </w:rPr>
        <w:t xml:space="preserve"> If WABA setup is proving difficult, tell us early. We'd rather help you through it than have it silently block your go-live date for weeks.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LLM API Keys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uses AI language models for chatbot conversations, document extraction, and intelligent assistance. You need API keys from the relevant providers.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15–30 minutes per provider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OpenAI (if applicable)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5">
        <w:r>
          <w:rPr>
            <w:rFonts w:eastAsia="等线" w:ascii="Arial" w:cs="Arial" w:hAnsi="Arial"/>
            <w:color w:val="3370ff"/>
            <w:sz w:val="22"/>
          </w:rPr>
          <w:t>platform.openai.com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account or sign in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Settings → Billing</w:t>
      </w:r>
      <w:r>
        <w:rPr>
          <w:rFonts w:eastAsia="等线" w:ascii="Arial" w:cs="Arial" w:hAnsi="Arial"/>
          <w:sz w:val="22"/>
        </w:rPr>
        <w:t xml:space="preserve"> and add a payment method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a monthly usage limit (we recommend starting at USD 50–100/month — you can adjust later)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API Keys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new secret key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 the key something like "MAIA Production"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key immediately — it won't be shown again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 the key via our secure credential portal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Anthropic / Claude (if applicable)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6">
        <w:r>
          <w:rPr>
            <w:rFonts w:eastAsia="等线" w:ascii="Arial" w:cs="Arial" w:hAnsi="Arial"/>
            <w:color w:val="3370ff"/>
            <w:sz w:val="22"/>
          </w:rPr>
          <w:t>console.anthropic.com</w:t>
        </w:r>
      </w:hyperlink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account or sign in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Settings → Billing</w:t>
      </w:r>
      <w:r>
        <w:rPr>
          <w:rFonts w:eastAsia="等线" w:ascii="Arial" w:cs="Arial" w:hAnsi="Arial"/>
          <w:sz w:val="22"/>
        </w:rPr>
        <w:t xml:space="preserve"> and add a payment method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a monthly spend limit (we recommend starting at USD 50–100/month)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API Keys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Key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 the key "MAIA Production"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key immediately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 the key via our secure credential portal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Important Notes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 billing limits.</w:t>
      </w:r>
      <w:r>
        <w:rPr>
          <w:rFonts w:eastAsia="等线" w:ascii="Arial" w:cs="Arial" w:hAnsi="Arial"/>
          <w:sz w:val="22"/>
        </w:rPr>
        <w:t xml:space="preserve"> This protects you from unexpected charges. Start conservative and increase based on actual usage.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 not share API keys via email, WhatsApp, or any unencrypted channel.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One key per deployment.</w:t>
      </w:r>
      <w:r>
        <w:rPr>
          <w:rFonts w:eastAsia="等线" w:ascii="Arial" w:cs="Arial" w:hAnsi="Arial"/>
          <w:sz w:val="22"/>
        </w:rPr>
        <w:t xml:space="preserve"> If you have staging and production environments, create separate keys for each.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will advise you on which LLM provider(s) are needed based on your MAIA configuration.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AWS Account Setup (Case-by-Case Only)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most clients, you can skip this section entirely.</w:t>
      </w:r>
      <w:r>
        <w:rPr>
          <w:rFonts w:eastAsia="等线" w:ascii="Arial" w:cs="Arial" w:hAnsi="Arial"/>
          <w:sz w:val="22"/>
        </w:rPr>
        <w:t xml:space="preserve"> Mindhive deploys MAIA on our own infrastructure — you don't need an AWS account.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section only applies if your specific arrangement requires MAIA to be deployed on your own AWS account (this will have been discussed and agreed during scoping).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30–60 minutes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If You Need to Set Up an AWS Account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7">
        <w:r>
          <w:rPr>
            <w:rFonts w:eastAsia="等线" w:ascii="Arial" w:cs="Arial" w:hAnsi="Arial"/>
            <w:color w:val="3370ff"/>
            <w:sz w:val="22"/>
          </w:rPr>
          <w:t>aws.amazon.com</w:t>
        </w:r>
      </w:hyperlink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an AWS Account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an email address (use a shared team email, not a personal one)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up your root account with a strong password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Enable MFA (multi-factor authentication) on the root account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Configure Billing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Billing Dashboard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Payment Methods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a credit card or set up invoiced billing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Set up </w:t>
      </w:r>
      <w:r>
        <w:rPr>
          <w:rFonts w:eastAsia="等线" w:ascii="Arial" w:cs="Arial" w:hAnsi="Arial"/>
          <w:b w:val="true"/>
          <w:sz w:val="22"/>
        </w:rPr>
        <w:t>Billing Alerts</w:t>
      </w:r>
      <w:r>
        <w:rPr>
          <w:rFonts w:eastAsia="等线" w:ascii="Arial" w:cs="Arial" w:hAnsi="Arial"/>
          <w:sz w:val="22"/>
        </w:rPr>
        <w:t xml:space="preserve"> in CloudWatch to monitor spend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recommend setting an initial budget alert at USD 500/month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Grant Mindhive Access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manages the deployment on your behalf — we need access to your account to do this. Two options: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 A — IAM Role (Recommended):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will provide you with a CloudFormation template or IAM policy document. You create the role in your account and share the Role ARN with us. This gives us scoped access without sharing long-term credentials.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 B — IAM User: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IAM user with programmatic access (Access Key + Secret Key). We will provide the required permission policy. Share credentials via the secure portal.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Estimated monthly AWS cost will be discussed during scoping and included in your SOW.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Quick Reference — What to Do When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to 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Dependencies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 With Mindhive Via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WABA phone 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Immediately after deal 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(just confirm you have the number)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WABA account setup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Immediately after deal 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 number ready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credential portal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 keys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SOW 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method on provider 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credential portal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AWS 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SOW signed (client-hosted only)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credential portal (IAM role/credentials)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Questions?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your Mindhive product team contact. We're happy to walk you through any of these steps — they're more straightforward than they look.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by Mindhive — Channel &amp; Infrastructure Setup Guide v1.0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0804">
    <w:lvl>
      <w:numFmt w:val="bullet"/>
      <w:suff w:val="tab"/>
      <w:lvlText w:val="•"/>
      <w:rPr>
        <w:color w:val="3370ff"/>
      </w:rPr>
    </w:lvl>
  </w:abstractNum>
  <w:abstractNum w:abstractNumId="290805">
    <w:lvl>
      <w:numFmt w:val="bullet"/>
      <w:suff w:val="tab"/>
      <w:lvlText w:val="•"/>
      <w:rPr>
        <w:color w:val="3370ff"/>
      </w:rPr>
    </w:lvl>
  </w:abstractNum>
  <w:abstractNum w:abstractNumId="290806">
    <w:lvl>
      <w:numFmt w:val="bullet"/>
      <w:suff w:val="tab"/>
      <w:lvlText w:val="•"/>
      <w:rPr>
        <w:color w:val="3370ff"/>
      </w:rPr>
    </w:lvl>
  </w:abstractNum>
  <w:abstractNum w:abstractNumId="290807">
    <w:lvl>
      <w:numFmt w:val="bullet"/>
      <w:suff w:val="tab"/>
      <w:lvlText w:val="•"/>
      <w:rPr>
        <w:color w:val="3370ff"/>
      </w:rPr>
    </w:lvl>
  </w:abstractNum>
  <w:abstractNum w:abstractNumId="290808">
    <w:lvl>
      <w:numFmt w:val="bullet"/>
      <w:suff w:val="tab"/>
      <w:lvlText w:val="•"/>
      <w:rPr>
        <w:color w:val="3370ff"/>
      </w:rPr>
    </w:lvl>
  </w:abstractNum>
  <w:abstractNum w:abstractNumId="290809">
    <w:lvl>
      <w:numFmt w:val="bullet"/>
      <w:suff w:val="tab"/>
      <w:lvlText w:val="•"/>
      <w:rPr>
        <w:color w:val="3370ff"/>
      </w:rPr>
    </w:lvl>
  </w:abstractNum>
  <w:abstractNum w:abstractNumId="290810">
    <w:lvl>
      <w:numFmt w:val="bullet"/>
      <w:suff w:val="tab"/>
      <w:lvlText w:val="•"/>
      <w:rPr>
        <w:color w:val="3370ff"/>
      </w:rPr>
    </w:lvl>
  </w:abstractNum>
  <w:abstractNum w:abstractNumId="290811">
    <w:lvl>
      <w:numFmt w:val="bullet"/>
      <w:suff w:val="tab"/>
      <w:lvlText w:val="•"/>
      <w:rPr>
        <w:color w:val="3370ff"/>
      </w:rPr>
    </w:lvl>
  </w:abstractNum>
  <w:abstractNum w:abstractNumId="290812">
    <w:lvl>
      <w:numFmt w:val="bullet"/>
      <w:suff w:val="tab"/>
      <w:lvlText w:val="•"/>
      <w:rPr>
        <w:color w:val="3370ff"/>
      </w:rPr>
    </w:lvl>
  </w:abstractNum>
  <w:abstractNum w:abstractNumId="290813">
    <w:lvl>
      <w:numFmt w:val="bullet"/>
      <w:suff w:val="tab"/>
      <w:lvlText w:val="•"/>
      <w:rPr>
        <w:color w:val="3370ff"/>
      </w:rPr>
    </w:lvl>
  </w:abstractNum>
  <w:abstractNum w:abstractNumId="290814">
    <w:lvl>
      <w:numFmt w:val="bullet"/>
      <w:suff w:val="tab"/>
      <w:lvlText w:val="•"/>
      <w:rPr>
        <w:color w:val="3370ff"/>
      </w:rPr>
    </w:lvl>
  </w:abstractNum>
  <w:abstractNum w:abstractNumId="290815">
    <w:lvl>
      <w:start w:val="1"/>
      <w:numFmt w:val="decimal"/>
      <w:suff w:val="tab"/>
      <w:lvlText w:val="%1."/>
      <w:rPr>
        <w:color w:val="3370ff"/>
      </w:rPr>
    </w:lvl>
  </w:abstractNum>
  <w:abstractNum w:abstractNumId="290816">
    <w:lvl>
      <w:start w:val="2"/>
      <w:numFmt w:val="decimal"/>
      <w:suff w:val="tab"/>
      <w:lvlText w:val="%1."/>
      <w:rPr>
        <w:color w:val="3370ff"/>
      </w:rPr>
    </w:lvl>
  </w:abstractNum>
  <w:abstractNum w:abstractNumId="290817">
    <w:lvl>
      <w:start w:val="3"/>
      <w:numFmt w:val="decimal"/>
      <w:suff w:val="tab"/>
      <w:lvlText w:val="%1."/>
      <w:rPr>
        <w:color w:val="3370ff"/>
      </w:rPr>
    </w:lvl>
  </w:abstractNum>
  <w:abstractNum w:abstractNumId="290818">
    <w:lvl>
      <w:start w:val="4"/>
      <w:numFmt w:val="decimal"/>
      <w:suff w:val="tab"/>
      <w:lvlText w:val="%1."/>
      <w:rPr>
        <w:color w:val="3370ff"/>
      </w:rPr>
    </w:lvl>
  </w:abstractNum>
  <w:abstractNum w:abstractNumId="290819">
    <w:lvl>
      <w:start w:val="5"/>
      <w:numFmt w:val="decimal"/>
      <w:suff w:val="tab"/>
      <w:lvlText w:val="%1."/>
      <w:rPr>
        <w:color w:val="3370ff"/>
      </w:rPr>
    </w:lvl>
  </w:abstractNum>
  <w:abstractNum w:abstractNumId="290820">
    <w:lvl>
      <w:numFmt w:val="bullet"/>
      <w:suff w:val="tab"/>
      <w:lvlText w:val="•"/>
      <w:rPr>
        <w:color w:val="3370ff"/>
      </w:rPr>
    </w:lvl>
  </w:abstractNum>
  <w:abstractNum w:abstractNumId="290821">
    <w:lvl>
      <w:numFmt w:val="bullet"/>
      <w:suff w:val="tab"/>
      <w:lvlText w:val="•"/>
      <w:rPr>
        <w:color w:val="3370ff"/>
      </w:rPr>
    </w:lvl>
  </w:abstractNum>
  <w:abstractNum w:abstractNumId="290822">
    <w:lvl>
      <w:numFmt w:val="bullet"/>
      <w:suff w:val="tab"/>
      <w:lvlText w:val="•"/>
      <w:rPr>
        <w:color w:val="3370ff"/>
      </w:rPr>
    </w:lvl>
  </w:abstractNum>
  <w:abstractNum w:abstractNumId="290823">
    <w:lvl>
      <w:start w:val="1"/>
      <w:numFmt w:val="decimal"/>
      <w:suff w:val="tab"/>
      <w:lvlText w:val="%1."/>
      <w:rPr>
        <w:color w:val="3370ff"/>
      </w:rPr>
    </w:lvl>
  </w:abstractNum>
  <w:abstractNum w:abstractNumId="290824">
    <w:lvl>
      <w:start w:val="2"/>
      <w:numFmt w:val="decimal"/>
      <w:suff w:val="tab"/>
      <w:lvlText w:val="%1."/>
      <w:rPr>
        <w:color w:val="3370ff"/>
      </w:rPr>
    </w:lvl>
  </w:abstractNum>
  <w:abstractNum w:abstractNumId="290825">
    <w:lvl>
      <w:start w:val="3"/>
      <w:numFmt w:val="decimal"/>
      <w:suff w:val="tab"/>
      <w:lvlText w:val="%1."/>
      <w:rPr>
        <w:color w:val="3370ff"/>
      </w:rPr>
    </w:lvl>
  </w:abstractNum>
  <w:abstractNum w:abstractNumId="290826">
    <w:lvl>
      <w:start w:val="4"/>
      <w:numFmt w:val="decimal"/>
      <w:suff w:val="tab"/>
      <w:lvlText w:val="%1."/>
      <w:rPr>
        <w:color w:val="3370ff"/>
      </w:rPr>
    </w:lvl>
  </w:abstractNum>
  <w:abstractNum w:abstractNumId="290827">
    <w:lvl>
      <w:start w:val="5"/>
      <w:numFmt w:val="decimal"/>
      <w:suff w:val="tab"/>
      <w:lvlText w:val="%1."/>
      <w:rPr>
        <w:color w:val="3370ff"/>
      </w:rPr>
    </w:lvl>
  </w:abstractNum>
  <w:abstractNum w:abstractNumId="290828">
    <w:lvl>
      <w:start w:val="6"/>
      <w:numFmt w:val="decimal"/>
      <w:suff w:val="tab"/>
      <w:lvlText w:val="%1."/>
      <w:rPr>
        <w:color w:val="3370ff"/>
      </w:rPr>
    </w:lvl>
  </w:abstractNum>
  <w:abstractNum w:abstractNumId="290829">
    <w:lvl>
      <w:start w:val="7"/>
      <w:numFmt w:val="decimal"/>
      <w:suff w:val="tab"/>
      <w:lvlText w:val="%1."/>
      <w:rPr>
        <w:color w:val="3370ff"/>
      </w:rPr>
    </w:lvl>
  </w:abstractNum>
  <w:abstractNum w:abstractNumId="290830">
    <w:lvl>
      <w:start w:val="8"/>
      <w:numFmt w:val="decimal"/>
      <w:suff w:val="tab"/>
      <w:lvlText w:val="%1."/>
      <w:rPr>
        <w:color w:val="3370ff"/>
      </w:rPr>
    </w:lvl>
  </w:abstractNum>
  <w:abstractNum w:abstractNumId="290831">
    <w:lvl>
      <w:start w:val="1"/>
      <w:numFmt w:val="decimal"/>
      <w:suff w:val="tab"/>
      <w:lvlText w:val="%1."/>
      <w:rPr>
        <w:color w:val="3370ff"/>
      </w:rPr>
    </w:lvl>
  </w:abstractNum>
  <w:abstractNum w:abstractNumId="290832">
    <w:lvl>
      <w:start w:val="2"/>
      <w:numFmt w:val="decimal"/>
      <w:suff w:val="tab"/>
      <w:lvlText w:val="%1."/>
      <w:rPr>
        <w:color w:val="3370ff"/>
      </w:rPr>
    </w:lvl>
  </w:abstractNum>
  <w:abstractNum w:abstractNumId="290833">
    <w:lvl>
      <w:start w:val="3"/>
      <w:numFmt w:val="decimal"/>
      <w:suff w:val="tab"/>
      <w:lvlText w:val="%1."/>
      <w:rPr>
        <w:color w:val="3370ff"/>
      </w:rPr>
    </w:lvl>
  </w:abstractNum>
  <w:abstractNum w:abstractNumId="290834">
    <w:lvl>
      <w:start w:val="4"/>
      <w:numFmt w:val="decimal"/>
      <w:suff w:val="tab"/>
      <w:lvlText w:val="%1."/>
      <w:rPr>
        <w:color w:val="3370ff"/>
      </w:rPr>
    </w:lvl>
  </w:abstractNum>
  <w:abstractNum w:abstractNumId="290835">
    <w:lvl>
      <w:start w:val="5"/>
      <w:numFmt w:val="decimal"/>
      <w:suff w:val="tab"/>
      <w:lvlText w:val="%1."/>
      <w:rPr>
        <w:color w:val="3370ff"/>
      </w:rPr>
    </w:lvl>
  </w:abstractNum>
  <w:abstractNum w:abstractNumId="290836">
    <w:lvl>
      <w:start w:val="6"/>
      <w:numFmt w:val="decimal"/>
      <w:suff w:val="tab"/>
      <w:lvlText w:val="%1."/>
      <w:rPr>
        <w:color w:val="3370ff"/>
      </w:rPr>
    </w:lvl>
  </w:abstractNum>
  <w:abstractNum w:abstractNumId="290837">
    <w:lvl>
      <w:start w:val="7"/>
      <w:numFmt w:val="decimal"/>
      <w:suff w:val="tab"/>
      <w:lvlText w:val="%1."/>
      <w:rPr>
        <w:color w:val="3370ff"/>
      </w:rPr>
    </w:lvl>
  </w:abstractNum>
  <w:abstractNum w:abstractNumId="290838">
    <w:lvl>
      <w:start w:val="8"/>
      <w:numFmt w:val="decimal"/>
      <w:suff w:val="tab"/>
      <w:lvlText w:val="%1."/>
      <w:rPr>
        <w:color w:val="3370ff"/>
      </w:rPr>
    </w:lvl>
  </w:abstractNum>
  <w:abstractNum w:abstractNumId="290839">
    <w:lvl>
      <w:numFmt w:val="bullet"/>
      <w:suff w:val="tab"/>
      <w:lvlText w:val="•"/>
      <w:rPr>
        <w:color w:val="3370ff"/>
      </w:rPr>
    </w:lvl>
  </w:abstractNum>
  <w:abstractNum w:abstractNumId="290840">
    <w:lvl>
      <w:numFmt w:val="bullet"/>
      <w:suff w:val="tab"/>
      <w:lvlText w:val="•"/>
      <w:rPr>
        <w:color w:val="3370ff"/>
      </w:rPr>
    </w:lvl>
  </w:abstractNum>
  <w:abstractNum w:abstractNumId="290841">
    <w:lvl>
      <w:numFmt w:val="bullet"/>
      <w:suff w:val="tab"/>
      <w:lvlText w:val="•"/>
      <w:rPr>
        <w:color w:val="3370ff"/>
      </w:rPr>
    </w:lvl>
  </w:abstractNum>
  <w:abstractNum w:abstractNumId="290842">
    <w:lvl>
      <w:numFmt w:val="bullet"/>
      <w:suff w:val="tab"/>
      <w:lvlText w:val="•"/>
      <w:rPr>
        <w:color w:val="3370ff"/>
      </w:rPr>
    </w:lvl>
  </w:abstractNum>
  <w:abstractNum w:abstractNumId="290843">
    <w:lvl>
      <w:start w:val="1"/>
      <w:numFmt w:val="decimal"/>
      <w:suff w:val="tab"/>
      <w:lvlText w:val="%1."/>
      <w:rPr>
        <w:color w:val="3370ff"/>
      </w:rPr>
    </w:lvl>
  </w:abstractNum>
  <w:abstractNum w:abstractNumId="290844">
    <w:lvl>
      <w:start w:val="2"/>
      <w:numFmt w:val="decimal"/>
      <w:suff w:val="tab"/>
      <w:lvlText w:val="%1."/>
      <w:rPr>
        <w:color w:val="3370ff"/>
      </w:rPr>
    </w:lvl>
  </w:abstractNum>
  <w:abstractNum w:abstractNumId="290845">
    <w:lvl>
      <w:start w:val="3"/>
      <w:numFmt w:val="decimal"/>
      <w:suff w:val="tab"/>
      <w:lvlText w:val="%1."/>
      <w:rPr>
        <w:color w:val="3370ff"/>
      </w:rPr>
    </w:lvl>
  </w:abstractNum>
  <w:abstractNum w:abstractNumId="290846">
    <w:lvl>
      <w:start w:val="4"/>
      <w:numFmt w:val="decimal"/>
      <w:suff w:val="tab"/>
      <w:lvlText w:val="%1."/>
      <w:rPr>
        <w:color w:val="3370ff"/>
      </w:rPr>
    </w:lvl>
  </w:abstractNum>
  <w:abstractNum w:abstractNumId="290847">
    <w:lvl>
      <w:start w:val="1"/>
      <w:numFmt w:val="decimal"/>
      <w:suff w:val="tab"/>
      <w:lvlText w:val="%1."/>
      <w:rPr>
        <w:color w:val="3370ff"/>
      </w:rPr>
    </w:lvl>
  </w:abstractNum>
  <w:abstractNum w:abstractNumId="290848">
    <w:lvl>
      <w:start w:val="2"/>
      <w:numFmt w:val="decimal"/>
      <w:suff w:val="tab"/>
      <w:lvlText w:val="%1."/>
      <w:rPr>
        <w:color w:val="3370ff"/>
      </w:rPr>
    </w:lvl>
  </w:abstractNum>
  <w:abstractNum w:abstractNumId="290849">
    <w:lvl>
      <w:start w:val="3"/>
      <w:numFmt w:val="decimal"/>
      <w:suff w:val="tab"/>
      <w:lvlText w:val="%1."/>
      <w:rPr>
        <w:color w:val="3370ff"/>
      </w:rPr>
    </w:lvl>
  </w:abstractNum>
  <w:abstractNum w:abstractNumId="29085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90804"/>
  </w:num>
  <w:num w:numId="2">
    <w:abstractNumId w:val="290805"/>
  </w:num>
  <w:num w:numId="3">
    <w:abstractNumId w:val="290806"/>
  </w:num>
  <w:num w:numId="4">
    <w:abstractNumId w:val="290807"/>
  </w:num>
  <w:num w:numId="5">
    <w:abstractNumId w:val="290808"/>
  </w:num>
  <w:num w:numId="6">
    <w:abstractNumId w:val="290809"/>
  </w:num>
  <w:num w:numId="7">
    <w:abstractNumId w:val="290810"/>
  </w:num>
  <w:num w:numId="8">
    <w:abstractNumId w:val="290811"/>
  </w:num>
  <w:num w:numId="9">
    <w:abstractNumId w:val="290812"/>
  </w:num>
  <w:num w:numId="10">
    <w:abstractNumId w:val="290813"/>
  </w:num>
  <w:num w:numId="11">
    <w:abstractNumId w:val="290814"/>
  </w:num>
  <w:num w:numId="12">
    <w:abstractNumId w:val="290815"/>
  </w:num>
  <w:num w:numId="13">
    <w:abstractNumId w:val="290816"/>
  </w:num>
  <w:num w:numId="14">
    <w:abstractNumId w:val="290817"/>
  </w:num>
  <w:num w:numId="15">
    <w:abstractNumId w:val="290818"/>
  </w:num>
  <w:num w:numId="16">
    <w:abstractNumId w:val="290819"/>
  </w:num>
  <w:num w:numId="17">
    <w:abstractNumId w:val="290820"/>
  </w:num>
  <w:num w:numId="18">
    <w:abstractNumId w:val="290821"/>
  </w:num>
  <w:num w:numId="19">
    <w:abstractNumId w:val="290822"/>
  </w:num>
  <w:num w:numId="20">
    <w:abstractNumId w:val="290823"/>
  </w:num>
  <w:num w:numId="21">
    <w:abstractNumId w:val="290824"/>
  </w:num>
  <w:num w:numId="22">
    <w:abstractNumId w:val="290825"/>
  </w:num>
  <w:num w:numId="23">
    <w:abstractNumId w:val="290826"/>
  </w:num>
  <w:num w:numId="24">
    <w:abstractNumId w:val="290827"/>
  </w:num>
  <w:num w:numId="25">
    <w:abstractNumId w:val="290828"/>
  </w:num>
  <w:num w:numId="26">
    <w:abstractNumId w:val="290829"/>
  </w:num>
  <w:num w:numId="27">
    <w:abstractNumId w:val="290830"/>
  </w:num>
  <w:num w:numId="28">
    <w:abstractNumId w:val="290831"/>
  </w:num>
  <w:num w:numId="29">
    <w:abstractNumId w:val="290832"/>
  </w:num>
  <w:num w:numId="30">
    <w:abstractNumId w:val="290833"/>
  </w:num>
  <w:num w:numId="31">
    <w:abstractNumId w:val="290834"/>
  </w:num>
  <w:num w:numId="32">
    <w:abstractNumId w:val="290835"/>
  </w:num>
  <w:num w:numId="33">
    <w:abstractNumId w:val="290836"/>
  </w:num>
  <w:num w:numId="34">
    <w:abstractNumId w:val="290837"/>
  </w:num>
  <w:num w:numId="35">
    <w:abstractNumId w:val="290838"/>
  </w:num>
  <w:num w:numId="36">
    <w:abstractNumId w:val="290839"/>
  </w:num>
  <w:num w:numId="37">
    <w:abstractNumId w:val="290840"/>
  </w:num>
  <w:num w:numId="38">
    <w:abstractNumId w:val="290841"/>
  </w:num>
  <w:num w:numId="39">
    <w:abstractNumId w:val="290842"/>
  </w:num>
  <w:num w:numId="40">
    <w:abstractNumId w:val="290843"/>
  </w:num>
  <w:num w:numId="41">
    <w:abstractNumId w:val="290844"/>
  </w:num>
  <w:num w:numId="42">
    <w:abstractNumId w:val="290845"/>
  </w:num>
  <w:num w:numId="43">
    <w:abstractNumId w:val="290846"/>
  </w:num>
  <w:num w:numId="44">
    <w:abstractNumId w:val="290847"/>
  </w:num>
  <w:num w:numId="45">
    <w:abstractNumId w:val="290848"/>
  </w:num>
  <w:num w:numId="46">
    <w:abstractNumId w:val="290849"/>
  </w:num>
  <w:num w:numId="47">
    <w:abstractNumId w:val="2908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platform.openai.com" TargetMode="External" Type="http://schemas.openxmlformats.org/officeDocument/2006/relationships/hyperlink"/><Relationship Id="rId6" Target="https://console.anthropic.com" TargetMode="External" Type="http://schemas.openxmlformats.org/officeDocument/2006/relationships/hyperlink"/><Relationship Id="rId7" Target="https://aws.amazon.com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2026-08-06T18:44:04Z</dcterms:created>
  <dc:creator>Apache POI</dc:creator>
</cp:coreProperties>
</file>