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maia_core_capabilities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MAIA Core Product Capabilities Matrix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document provides comprehensive answers regarding the core capabilities of the MAIA platform, based on the hybrid architecture of ERPNext (Frappe framework) and the MAIA AI/Chatbot middleware.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Account / Company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Company profile:</w:t>
      </w:r>
      <w:r>
        <w:rPr>
          <w:rFonts w:eastAsia="等线" w:ascii="Arial" w:cs="Arial" w:hAnsi="Arial"/>
          <w:sz w:val="22"/>
        </w:rPr>
        <w:t xml:space="preserve"> Configured via the </w:t>
      </w:r>
      <w:r>
        <w:rPr>
          <w:rFonts w:eastAsia="Consolas" w:ascii="Consolas" w:cs="Consolas" w:hAnsi="Consolas"/>
          <w:sz w:val="22"/>
          <w:shd w:fill="EFF0F1"/>
        </w:rPr>
        <w:t>Company</w:t>
      </w:r>
      <w:r>
        <w:rPr>
          <w:rFonts w:eastAsia="等线" w:ascii="Arial" w:cs="Arial" w:hAnsi="Arial"/>
          <w:sz w:val="22"/>
        </w:rPr>
        <w:t xml:space="preserve"> module. It captures Company Name, Abbreviation, Default Currency, Chart of Accounts, Tax IDs, Default Bank Accounts, and Registered Addresses.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Multiple legal entities:</w:t>
      </w:r>
      <w:r>
        <w:rPr>
          <w:rFonts w:eastAsia="等线" w:ascii="Arial" w:cs="Arial" w:hAnsi="Arial"/>
          <w:sz w:val="22"/>
        </w:rPr>
        <w:t xml:space="preserve"> Yes, a single MAIA account (tenant) natively supports multiple distinct Companies/Legal Entities.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Branches / outlets:</w:t>
      </w:r>
      <w:r>
        <w:rPr>
          <w:rFonts w:eastAsia="等线" w:ascii="Arial" w:cs="Arial" w:hAnsi="Arial"/>
          <w:sz w:val="22"/>
        </w:rPr>
        <w:t xml:space="preserve"> Yes, branches and outlets can be configured as distinct </w:t>
      </w:r>
      <w:r>
        <w:rPr>
          <w:rFonts w:eastAsia="Consolas" w:ascii="Consolas" w:cs="Consolas" w:hAnsi="Consolas"/>
          <w:sz w:val="22"/>
          <w:shd w:fill="EFF0F1"/>
        </w:rPr>
        <w:t>Cost Centers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Warehouses</w:t>
      </w:r>
      <w:r>
        <w:rPr>
          <w:rFonts w:eastAsia="等线" w:ascii="Arial" w:cs="Arial" w:hAnsi="Arial"/>
          <w:sz w:val="22"/>
        </w:rPr>
        <w:t xml:space="preserve">, or even separate </w:t>
      </w:r>
      <w:r>
        <w:rPr>
          <w:rFonts w:eastAsia="Consolas" w:ascii="Consolas" w:cs="Consolas" w:hAnsi="Consolas"/>
          <w:sz w:val="22"/>
          <w:shd w:fill="EFF0F1"/>
        </w:rPr>
        <w:t>Companies</w:t>
      </w:r>
      <w:r>
        <w:rPr>
          <w:rFonts w:eastAsia="等线" w:ascii="Arial" w:cs="Arial" w:hAnsi="Arial"/>
          <w:sz w:val="22"/>
        </w:rPr>
        <w:t xml:space="preserve"> depending on accounting needs. They control revenue/expense tracking, inventory segregation, and localized reporting.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Default entity / outlet:</w:t>
      </w:r>
      <w:r>
        <w:rPr>
          <w:rFonts w:eastAsia="等线" w:ascii="Arial" w:cs="Arial" w:hAnsi="Arial"/>
          <w:sz w:val="22"/>
        </w:rPr>
        <w:t xml:space="preserve"> Yes, defaults can be assigned system-wide (Global Defaults) or at the User level via </w:t>
      </w:r>
      <w:r>
        <w:rPr>
          <w:rFonts w:eastAsia="Consolas" w:ascii="Consolas" w:cs="Consolas" w:hAnsi="Consolas"/>
          <w:sz w:val="22"/>
          <w:shd w:fill="EFF0F1"/>
        </w:rPr>
        <w:t>User Permissions</w:t>
      </w:r>
      <w:r>
        <w:rPr>
          <w:rFonts w:eastAsia="等线" w:ascii="Arial" w:cs="Arial" w:hAnsi="Arial"/>
          <w:sz w:val="22"/>
        </w:rPr>
        <w:t xml:space="preserve"> (e.g., defaulting a specific user to "Outlet A").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Currency:</w:t>
      </w:r>
      <w:r>
        <w:rPr>
          <w:rFonts w:eastAsia="等线" w:ascii="Arial" w:cs="Arial" w:hAnsi="Arial"/>
          <w:sz w:val="22"/>
        </w:rPr>
        <w:t xml:space="preserve"> Yes, multi-currency is fully supported. Each company has a base currency, and customers can have specific billing currencies. Exchange rates are maintained centrally.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Tax configuration:</w:t>
      </w:r>
      <w:r>
        <w:rPr>
          <w:rFonts w:eastAsia="等线" w:ascii="Arial" w:cs="Arial" w:hAnsi="Arial"/>
          <w:sz w:val="22"/>
        </w:rPr>
        <w:t xml:space="preserve"> Tax templates, item tax rates, and tax rules (inclusive/exclusive) are fully configurable per account and per company.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Timezone / locale:</w:t>
      </w:r>
      <w:r>
        <w:rPr>
          <w:rFonts w:eastAsia="等线" w:ascii="Arial" w:cs="Arial" w:hAnsi="Arial"/>
          <w:sz w:val="22"/>
        </w:rPr>
        <w:t xml:space="preserve"> Yes, timezone, date formats, and number formats can be configured globally and overridden at the individual User level.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Account-level business settings:</w:t>
      </w:r>
      <w:r>
        <w:rPr>
          <w:rFonts w:eastAsia="等线" w:ascii="Arial" w:cs="Arial" w:hAnsi="Arial"/>
          <w:sz w:val="22"/>
        </w:rPr>
        <w:t xml:space="preserve"> Standard configurations include Fiscal Years, Chart of Accounts structure, System Settings (security policies, backups), Payment Gateways, and Email Domains.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Users</w:t>
      </w:r>
      <w:bookmarkEnd w:id="2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 creation:</w:t>
      </w:r>
      <w:r>
        <w:rPr>
          <w:rFonts w:eastAsia="等线" w:ascii="Arial" w:cs="Arial" w:hAnsi="Arial"/>
          <w:sz w:val="22"/>
        </w:rPr>
        <w:t xml:space="preserve"> Provisioned via the </w:t>
      </w:r>
      <w:r>
        <w:rPr>
          <w:rFonts w:eastAsia="Consolas" w:ascii="Consolas" w:cs="Consolas" w:hAnsi="Consolas"/>
          <w:sz w:val="22"/>
          <w:shd w:fill="EFF0F1"/>
        </w:rPr>
        <w:t>User</w:t>
      </w:r>
      <w:r>
        <w:rPr>
          <w:rFonts w:eastAsia="等线" w:ascii="Arial" w:cs="Arial" w:hAnsi="Arial"/>
          <w:sz w:val="22"/>
        </w:rPr>
        <w:t xml:space="preserve"> module. Requires an email, name, and assignment of Role Profiles.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 activation / deactivation:</w:t>
      </w:r>
      <w:r>
        <w:rPr>
          <w:rFonts w:eastAsia="等线" w:ascii="Arial" w:cs="Arial" w:hAnsi="Arial"/>
          <w:sz w:val="22"/>
        </w:rPr>
        <w:t xml:space="preserve"> Yes, Administrators can instantly activate/deactivate users by toggling the "Enabled" flag via the UI without any code changes.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Multiple roles per user:</w:t>
      </w:r>
      <w:r>
        <w:rPr>
          <w:rFonts w:eastAsia="等线" w:ascii="Arial" w:cs="Arial" w:hAnsi="Arial"/>
          <w:sz w:val="22"/>
        </w:rPr>
        <w:t xml:space="preserve"> Yes, a single user can hold multiple roles simultaneously. Their permissions will be the union of all assigned roles.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User-specific settings:</w:t>
      </w:r>
      <w:r>
        <w:rPr>
          <w:rFonts w:eastAsia="等线" w:ascii="Arial" w:cs="Arial" w:hAnsi="Arial"/>
          <w:sz w:val="22"/>
        </w:rPr>
        <w:t xml:space="preserve"> Yes, two users with the identical "Sales User" role can behave differently. </w:t>
      </w:r>
      <w:r>
        <w:rPr>
          <w:rFonts w:eastAsia="Consolas" w:ascii="Consolas" w:cs="Consolas" w:hAnsi="Consolas"/>
          <w:sz w:val="22"/>
          <w:shd w:fill="EFF0F1"/>
        </w:rPr>
        <w:t>User Permissions</w:t>
      </w:r>
      <w:r>
        <w:rPr>
          <w:rFonts w:eastAsia="等线" w:ascii="Arial" w:cs="Arial" w:hAnsi="Arial"/>
          <w:sz w:val="22"/>
        </w:rPr>
        <w:t xml:space="preserve"> allow restricting a user's data visibility (e.g., restricting User A to Territory X, and User B to Territory Y).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User-to-customer assignment:</w:t>
      </w:r>
      <w:r>
        <w:rPr>
          <w:rFonts w:eastAsia="等线" w:ascii="Arial" w:cs="Arial" w:hAnsi="Arial"/>
          <w:sz w:val="22"/>
        </w:rPr>
        <w:t xml:space="preserve"> Yes, customers can be restricted to specific users via </w:t>
      </w:r>
      <w:r>
        <w:rPr>
          <w:rFonts w:eastAsia="Consolas" w:ascii="Consolas" w:cs="Consolas" w:hAnsi="Consolas"/>
          <w:sz w:val="22"/>
          <w:shd w:fill="EFF0F1"/>
        </w:rPr>
        <w:t>Sales Person</w:t>
      </w:r>
      <w:r>
        <w:rPr>
          <w:rFonts w:eastAsia="等线" w:ascii="Arial" w:cs="Arial" w:hAnsi="Arial"/>
          <w:sz w:val="22"/>
        </w:rPr>
        <w:t xml:space="preserve"> assignments or User Permissions.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User-to-warehouse assignment:</w:t>
      </w:r>
      <w:r>
        <w:rPr>
          <w:rFonts w:eastAsia="等线" w:ascii="Arial" w:cs="Arial" w:hAnsi="Arial"/>
          <w:sz w:val="22"/>
        </w:rPr>
        <w:t xml:space="preserve"> Yes, users can be restricted to view and transact out of specific Warehouses only.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User-to-outlet / entity assignment:</w:t>
      </w:r>
      <w:r>
        <w:rPr>
          <w:rFonts w:eastAsia="等线" w:ascii="Arial" w:cs="Arial" w:hAnsi="Arial"/>
          <w:sz w:val="22"/>
        </w:rPr>
        <w:t xml:space="preserve"> Yes, users can be restricted to specific Companies or Cost Centers.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Authentication / login:</w:t>
      </w:r>
      <w:r>
        <w:rPr>
          <w:rFonts w:eastAsia="等线" w:ascii="Arial" w:cs="Arial" w:hAnsi="Arial"/>
          <w:sz w:val="22"/>
        </w:rPr>
        <w:t xml:space="preserve"> Local password (with complexity policies), Two-Factor Authentication (2FA), LDAP, and OAuth/SSO (Google, Microsoft) are all supported and configurable per client.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Roles &amp; Permissions</w:t>
      </w:r>
      <w:bookmarkEnd w:id="3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Standard roles:</w:t>
      </w:r>
      <w:r>
        <w:rPr>
          <w:rFonts w:eastAsia="等线" w:ascii="Arial" w:cs="Arial" w:hAnsi="Arial"/>
          <w:sz w:val="22"/>
        </w:rPr>
        <w:t xml:space="preserve"> Core roles include System Manager, Sales Manager, Sales User, Accounts Manager, Accounts User, Stock Manager, Stock User, Purchase Manager, etc.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Custom roles:</w:t>
      </w:r>
      <w:r>
        <w:rPr>
          <w:rFonts w:eastAsia="等线" w:ascii="Arial" w:cs="Arial" w:hAnsi="Arial"/>
          <w:sz w:val="22"/>
        </w:rPr>
        <w:t xml:space="preserve"> Yes, Product/Administrators can dynamically create new Roles and Role Profiles from the UI without development.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View, Create, Edit, Delete, Submit permissions:</w:t>
      </w:r>
      <w:r>
        <w:rPr>
          <w:rFonts w:eastAsia="等线" w:ascii="Arial" w:cs="Arial" w:hAnsi="Arial"/>
          <w:sz w:val="22"/>
        </w:rPr>
        <w:t xml:space="preserve"> Yes, all of these actions are granularly configurable per Role via the </w:t>
      </w:r>
      <w:r>
        <w:rPr>
          <w:rFonts w:eastAsia="Consolas" w:ascii="Consolas" w:cs="Consolas" w:hAnsi="Consolas"/>
          <w:sz w:val="22"/>
          <w:shd w:fill="EFF0F1"/>
        </w:rPr>
        <w:t>Role Permissions Manager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Approve permissions:</w:t>
      </w:r>
      <w:r>
        <w:rPr>
          <w:rFonts w:eastAsia="等线" w:ascii="Arial" w:cs="Arial" w:hAnsi="Arial"/>
          <w:sz w:val="22"/>
        </w:rPr>
        <w:t xml:space="preserve"> Yes, approval permissions are managed by the </w:t>
      </w:r>
      <w:r>
        <w:rPr>
          <w:rFonts w:eastAsia="Consolas" w:ascii="Consolas" w:cs="Consolas" w:hAnsi="Consolas"/>
          <w:sz w:val="22"/>
          <w:shd w:fill="EFF0F1"/>
        </w:rPr>
        <w:t>Workflow</w:t>
      </w:r>
      <w:r>
        <w:rPr>
          <w:rFonts w:eastAsia="等线" w:ascii="Arial" w:cs="Arial" w:hAnsi="Arial"/>
          <w:sz w:val="22"/>
        </w:rPr>
        <w:t xml:space="preserve"> engine, where specific roles are required to transition a document from "Pending Approval" to "Approved".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Override permissions:</w:t>
      </w:r>
      <w:r>
        <w:rPr>
          <w:rFonts w:eastAsia="等线" w:ascii="Arial" w:cs="Arial" w:hAnsi="Arial"/>
          <w:sz w:val="22"/>
        </w:rPr>
        <w:t xml:space="preserve"> Yes, specific override actions (like bypassing a credit limit) can be granted to specific managerial roles via workflow configurations.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Download / export permissions:</w:t>
      </w:r>
      <w:r>
        <w:rPr>
          <w:rFonts w:eastAsia="等线" w:ascii="Arial" w:cs="Arial" w:hAnsi="Arial"/>
          <w:sz w:val="22"/>
        </w:rPr>
        <w:t xml:space="preserve"> Yes, Print, Email, and Export (to Excel/CSV) permissions are distinctly configurable per role.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Record ownership access:</w:t>
      </w:r>
      <w:r>
        <w:rPr>
          <w:rFonts w:eastAsia="等线" w:ascii="Arial" w:cs="Arial" w:hAnsi="Arial"/>
          <w:sz w:val="22"/>
        </w:rPr>
        <w:t xml:space="preserve"> Yes, the "If Owner" permission rule restricts users so they can only view and edit records that they themselves created.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Permission granularity:</w:t>
      </w:r>
      <w:r>
        <w:rPr>
          <w:rFonts w:eastAsia="等线" w:ascii="Arial" w:cs="Arial" w:hAnsi="Arial"/>
          <w:sz w:val="22"/>
        </w:rPr>
        <w:t xml:space="preserve"> Highly granular. Permissions apply account-wide, but can be restricted by Role, by User, by Entity, and down to the specific field level (e.g., hiding the "Cost" field from Sales Users).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Permission enforcement:</w:t>
      </w:r>
      <w:r>
        <w:rPr>
          <w:rFonts w:eastAsia="等线" w:ascii="Arial" w:cs="Arial" w:hAnsi="Arial"/>
          <w:sz w:val="22"/>
        </w:rPr>
        <w:t xml:space="preserve"> Enforced heavily in both the Frontend (UI elements are hidden) and the Backend API (REST endpoints reject unauthorized requests).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Customers</w:t>
      </w:r>
      <w:bookmarkEnd w:id="4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Customer visibility:</w:t>
      </w:r>
      <w:r>
        <w:rPr>
          <w:rFonts w:eastAsia="等线" w:ascii="Arial" w:cs="Arial" w:hAnsi="Arial"/>
          <w:sz w:val="22"/>
        </w:rPr>
        <w:t xml:space="preserve"> Yes, easily restricted via User Permissions or Territory assignments.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Assigned customers only:</w:t>
      </w:r>
      <w:r>
        <w:rPr>
          <w:rFonts w:eastAsia="等线" w:ascii="Arial" w:cs="Arial" w:hAnsi="Arial"/>
          <w:sz w:val="22"/>
        </w:rPr>
        <w:t xml:space="preserve"> Yes, a Sales User can be configured to only see the Customers explicitly assigned to them.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Customer ownership:</w:t>
      </w:r>
      <w:r>
        <w:rPr>
          <w:rFonts w:eastAsia="等线" w:ascii="Arial" w:cs="Arial" w:hAnsi="Arial"/>
          <w:sz w:val="22"/>
        </w:rPr>
        <w:t xml:space="preserve"> Yes, MAIA utilizes the </w:t>
      </w:r>
      <w:r>
        <w:rPr>
          <w:rFonts w:eastAsia="Consolas" w:ascii="Consolas" w:cs="Consolas" w:hAnsi="Consolas"/>
          <w:sz w:val="22"/>
          <w:shd w:fill="EFF0F1"/>
        </w:rPr>
        <w:t>Sales Person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Sales Team</w:t>
      </w:r>
      <w:r>
        <w:rPr>
          <w:rFonts w:eastAsia="等线" w:ascii="Arial" w:cs="Arial" w:hAnsi="Arial"/>
          <w:sz w:val="22"/>
        </w:rPr>
        <w:t xml:space="preserve"> structures to assign ownership.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Customer creation/editing:</w:t>
      </w:r>
      <w:r>
        <w:rPr>
          <w:rFonts w:eastAsia="等线" w:ascii="Arial" w:cs="Arial" w:hAnsi="Arial"/>
          <w:sz w:val="22"/>
        </w:rPr>
        <w:t xml:space="preserve"> Configurable via Role Permissions. Typically restricted to Sales Managers or Admin.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Customer deletion/deactivation:</w:t>
      </w:r>
      <w:r>
        <w:rPr>
          <w:rFonts w:eastAsia="等线" w:ascii="Arial" w:cs="Arial" w:hAnsi="Arial"/>
          <w:sz w:val="22"/>
        </w:rPr>
        <w:t xml:space="preserve"> Customers can be deactivated ("Disabled" flag). Hard deletion is only permitted if the customer has no linked transactions.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Customer search:</w:t>
      </w:r>
      <w:r>
        <w:rPr>
          <w:rFonts w:eastAsia="等线" w:ascii="Arial" w:cs="Arial" w:hAnsi="Arial"/>
          <w:sz w:val="22"/>
        </w:rPr>
        <w:t xml:space="preserve"> Searchable fields are configurable (e.g., searching by phone number, ID, or name).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Customer matching:</w:t>
      </w:r>
      <w:r>
        <w:rPr>
          <w:rFonts w:eastAsia="等线" w:ascii="Arial" w:cs="Arial" w:hAnsi="Arial"/>
          <w:sz w:val="22"/>
        </w:rPr>
        <w:t xml:space="preserve"> The chatbot middleware utilizes semantic/fuzzy matching against Phone, Name, Email, and External IDs to map incoming messages to existing records. Confidence thresholds determine if it auto-matches.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Duplicate handling:</w:t>
      </w:r>
      <w:r>
        <w:rPr>
          <w:rFonts w:eastAsia="等线" w:ascii="Arial" w:cs="Arial" w:hAnsi="Arial"/>
          <w:sz w:val="22"/>
        </w:rPr>
        <w:t xml:space="preserve"> Core provides deduplication warnings upon creation. Administrators have access to a "Merge" tool to combine duplicate customer records.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Required customer fields:</w:t>
      </w:r>
      <w:r>
        <w:rPr>
          <w:rFonts w:eastAsia="等线" w:ascii="Arial" w:cs="Arial" w:hAnsi="Arial"/>
          <w:sz w:val="22"/>
        </w:rPr>
        <w:t xml:space="preserve"> Yes, mandatory fields can be customized per client via the </w:t>
      </w:r>
      <w:r>
        <w:rPr>
          <w:rFonts w:eastAsia="Consolas" w:ascii="Consolas" w:cs="Consolas" w:hAnsi="Consolas"/>
          <w:sz w:val="22"/>
          <w:shd w:fill="EFF0F1"/>
        </w:rPr>
        <w:t>Customize Form</w:t>
      </w:r>
      <w:r>
        <w:rPr>
          <w:rFonts w:eastAsia="等线" w:ascii="Arial" w:cs="Arial" w:hAnsi="Arial"/>
          <w:sz w:val="22"/>
        </w:rPr>
        <w:t xml:space="preserve"> tool.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External customer ID:</w:t>
      </w:r>
      <w:r>
        <w:rPr>
          <w:rFonts w:eastAsia="等线" w:ascii="Arial" w:cs="Arial" w:hAnsi="Arial"/>
          <w:sz w:val="22"/>
        </w:rPr>
        <w:t xml:space="preserve"> Captured via custom fields or the Integration tables to map MAIA records 1:1 with external ERPs. It dictates sync behavior.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Payment terms:</w:t>
      </w:r>
      <w:r>
        <w:rPr>
          <w:rFonts w:eastAsia="等线" w:ascii="Arial" w:cs="Arial" w:hAnsi="Arial"/>
          <w:sz w:val="22"/>
        </w:rPr>
        <w:t xml:space="preserve"> Yes, </w:t>
      </w:r>
      <w:r>
        <w:rPr>
          <w:rFonts w:eastAsia="Consolas" w:ascii="Consolas" w:cs="Consolas" w:hAnsi="Consolas"/>
          <w:sz w:val="22"/>
          <w:shd w:fill="EFF0F1"/>
        </w:rPr>
        <w:t>Payment Terms Templates</w:t>
      </w:r>
      <w:r>
        <w:rPr>
          <w:rFonts w:eastAsia="等线" w:ascii="Arial" w:cs="Arial" w:hAnsi="Arial"/>
          <w:sz w:val="22"/>
        </w:rPr>
        <w:t xml:space="preserve"> are configurable, stored against the customer, and automatically applied to their orders/invoices.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Customer groups / segments:</w:t>
      </w:r>
      <w:r>
        <w:rPr>
          <w:rFonts w:eastAsia="等线" w:ascii="Arial" w:cs="Arial" w:hAnsi="Arial"/>
          <w:sz w:val="22"/>
        </w:rPr>
        <w:t xml:space="preserve"> Yes, the </w:t>
      </w:r>
      <w:r>
        <w:rPr>
          <w:rFonts w:eastAsia="Consolas" w:ascii="Consolas" w:cs="Consolas" w:hAnsi="Consolas"/>
          <w:sz w:val="22"/>
          <w:shd w:fill="EFF0F1"/>
        </w:rPr>
        <w:t>Customer Group</w:t>
      </w:r>
      <w:r>
        <w:rPr>
          <w:rFonts w:eastAsia="等线" w:ascii="Arial" w:cs="Arial" w:hAnsi="Arial"/>
          <w:sz w:val="22"/>
        </w:rPr>
        <w:t xml:space="preserve"> module supports hierarchical categorization which can dynamically trigger specific Pricing Rules or Credit Limits.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5. Items / Products</w:t>
      </w:r>
      <w:bookmarkEnd w:id="5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Item visibility/creation/editing:</w:t>
      </w:r>
      <w:r>
        <w:rPr>
          <w:rFonts w:eastAsia="等线" w:ascii="Arial" w:cs="Arial" w:hAnsi="Arial"/>
          <w:sz w:val="22"/>
        </w:rPr>
        <w:t xml:space="preserve"> Fully configurable via Role Permissions.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Active / inactive items:</w:t>
      </w:r>
      <w:r>
        <w:rPr>
          <w:rFonts w:eastAsia="等线" w:ascii="Arial" w:cs="Arial" w:hAnsi="Arial"/>
          <w:sz w:val="22"/>
        </w:rPr>
        <w:t xml:space="preserve"> The "Disabled" flag hides items from searches and prevents their use in new transactions, whilst preserving historical data.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Item search:</w:t>
      </w:r>
      <w:r>
        <w:rPr>
          <w:rFonts w:eastAsia="等线" w:ascii="Arial" w:cs="Arial" w:hAnsi="Arial"/>
          <w:sz w:val="22"/>
        </w:rPr>
        <w:t xml:space="preserve"> Search fields are configurable (e.g., Name, Code, Barcode, Description).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Item matching:</w:t>
      </w:r>
      <w:r>
        <w:rPr>
          <w:rFonts w:eastAsia="等线" w:ascii="Arial" w:cs="Arial" w:hAnsi="Arial"/>
          <w:sz w:val="22"/>
        </w:rPr>
        <w:t xml:space="preserve"> Chatbot/OCR employs semantic and alias matching to map messy customer inputs (or PO line items) to structured MAIA Item Codes.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Item aliases / synonyms:</w:t>
      </w:r>
      <w:r>
        <w:rPr>
          <w:rFonts w:eastAsia="等线" w:ascii="Arial" w:cs="Arial" w:hAnsi="Arial"/>
          <w:sz w:val="22"/>
        </w:rPr>
        <w:t xml:space="preserve"> Yes, standard Barcode/Alias tables can store account-specific synonyms to improve matching accuracy.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Customer-specific item codes:</w:t>
      </w:r>
      <w:r>
        <w:rPr>
          <w:rFonts w:eastAsia="等线" w:ascii="Arial" w:cs="Arial" w:hAnsi="Arial"/>
          <w:sz w:val="22"/>
        </w:rPr>
        <w:t xml:space="preserve"> Yes, the </w:t>
      </w:r>
      <w:r>
        <w:rPr>
          <w:rFonts w:eastAsia="Consolas" w:ascii="Consolas" w:cs="Consolas" w:hAnsi="Consolas"/>
          <w:sz w:val="22"/>
          <w:shd w:fill="EFF0F1"/>
        </w:rPr>
        <w:t>Item Customer Detail</w:t>
      </w:r>
      <w:r>
        <w:rPr>
          <w:rFonts w:eastAsia="等线" w:ascii="Arial" w:cs="Arial" w:hAnsi="Arial"/>
          <w:sz w:val="22"/>
        </w:rPr>
        <w:t xml:space="preserve"> table allows you to map a specific Customer's internal part number to your MAIA Item Code.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UOM &amp; Alternative UOM:</w:t>
      </w:r>
      <w:r>
        <w:rPr>
          <w:rFonts w:eastAsia="等线" w:ascii="Arial" w:cs="Arial" w:hAnsi="Arial"/>
          <w:sz w:val="22"/>
        </w:rPr>
        <w:t xml:space="preserve"> Highly configurable. Items have a Default UOM, Sales UOM, and Purchasing UOM. Multiple alternative UOMs (e.g., Box, Pallet, Unit) are natively supported.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UOM conversion:</w:t>
      </w:r>
      <w:r>
        <w:rPr>
          <w:rFonts w:eastAsia="等线" w:ascii="Arial" w:cs="Arial" w:hAnsi="Arial"/>
          <w:sz w:val="22"/>
        </w:rPr>
        <w:t xml:space="preserve"> UOM Conversion factors are configured directly on the Item master record and can differ per client/item.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Item categories / groups:</w:t>
      </w:r>
      <w:r>
        <w:rPr>
          <w:rFonts w:eastAsia="等线" w:ascii="Arial" w:cs="Arial" w:hAnsi="Arial"/>
          <w:sz w:val="22"/>
        </w:rPr>
        <w:t xml:space="preserve"> Yes, </w:t>
      </w:r>
      <w:r>
        <w:rPr>
          <w:rFonts w:eastAsia="Consolas" w:ascii="Consolas" w:cs="Consolas" w:hAnsi="Consolas"/>
          <w:sz w:val="22"/>
          <w:shd w:fill="EFF0F1"/>
        </w:rPr>
        <w:t>Item Groups</w:t>
      </w:r>
      <w:r>
        <w:rPr>
          <w:rFonts w:eastAsia="等线" w:ascii="Arial" w:cs="Arial" w:hAnsi="Arial"/>
          <w:sz w:val="22"/>
        </w:rPr>
        <w:t xml:space="preserve"> are hierarchical and control default behaviors like accounting ledgers, tax rules, and pricing logic.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6. Pricing</w:t>
      </w:r>
      <w:bookmarkEnd w:id="6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Base / standard price:</w:t>
      </w:r>
      <w:r>
        <w:rPr>
          <w:rFonts w:eastAsia="等线" w:ascii="Arial" w:cs="Arial" w:hAnsi="Arial"/>
          <w:sz w:val="22"/>
        </w:rPr>
        <w:t xml:space="preserve"> Originates from the </w:t>
      </w:r>
      <w:r>
        <w:rPr>
          <w:rFonts w:eastAsia="Consolas" w:ascii="Consolas" w:cs="Consolas" w:hAnsi="Consolas"/>
          <w:sz w:val="22"/>
          <w:shd w:fill="EFF0F1"/>
        </w:rPr>
        <w:t>Item Price</w:t>
      </w:r>
      <w:r>
        <w:rPr>
          <w:rFonts w:eastAsia="等线" w:ascii="Arial" w:cs="Arial" w:hAnsi="Arial"/>
          <w:sz w:val="22"/>
        </w:rPr>
        <w:t xml:space="preserve"> record linked to the default </w:t>
      </w:r>
      <w:r>
        <w:rPr>
          <w:rFonts w:eastAsia="Consolas" w:ascii="Consolas" w:cs="Consolas" w:hAnsi="Consolas"/>
          <w:sz w:val="22"/>
          <w:shd w:fill="EFF0F1"/>
        </w:rPr>
        <w:t>Standard Selling</w:t>
      </w:r>
      <w:r>
        <w:rPr>
          <w:rFonts w:eastAsia="等线" w:ascii="Arial" w:cs="Arial" w:hAnsi="Arial"/>
          <w:sz w:val="22"/>
        </w:rPr>
        <w:t xml:space="preserve"> Price List.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Customer-specific pricing:</w:t>
      </w:r>
      <w:r>
        <w:rPr>
          <w:rFonts w:eastAsia="等线" w:ascii="Arial" w:cs="Arial" w:hAnsi="Arial"/>
          <w:sz w:val="22"/>
        </w:rPr>
        <w:t xml:space="preserve"> Yes, configurable via </w:t>
      </w:r>
      <w:r>
        <w:rPr>
          <w:rFonts w:eastAsia="Consolas" w:ascii="Consolas" w:cs="Consolas" w:hAnsi="Consolas"/>
          <w:sz w:val="22"/>
          <w:shd w:fill="EFF0F1"/>
        </w:rPr>
        <w:t>Pricing Rules</w:t>
      </w:r>
      <w:r>
        <w:rPr>
          <w:rFonts w:eastAsia="等线" w:ascii="Arial" w:cs="Arial" w:hAnsi="Arial"/>
          <w:sz w:val="22"/>
        </w:rPr>
        <w:t xml:space="preserve"> or by assigning a specific </w:t>
      </w:r>
      <w:r>
        <w:rPr>
          <w:rFonts w:eastAsia="Consolas" w:ascii="Consolas" w:cs="Consolas" w:hAnsi="Consolas"/>
          <w:sz w:val="22"/>
          <w:shd w:fill="EFF0F1"/>
        </w:rPr>
        <w:t>Price List</w:t>
      </w:r>
      <w:r>
        <w:rPr>
          <w:rFonts w:eastAsia="等线" w:ascii="Arial" w:cs="Arial" w:hAnsi="Arial"/>
          <w:sz w:val="22"/>
        </w:rPr>
        <w:t xml:space="preserve"> directly to a Customer record.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Price lists:</w:t>
      </w:r>
      <w:r>
        <w:rPr>
          <w:rFonts w:eastAsia="等线" w:ascii="Arial" w:cs="Arial" w:hAnsi="Arial"/>
          <w:sz w:val="22"/>
        </w:rPr>
        <w:t xml:space="preserve"> Multiple price lists (e.g., Retail, Wholesale, Tier A) are natively supported. Selected automatically based on Customer defaults or campaign rules.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Price selection priority:</w:t>
      </w:r>
      <w:r>
        <w:rPr>
          <w:rFonts w:eastAsia="等线" w:ascii="Arial" w:cs="Arial" w:hAnsi="Arial"/>
          <w:sz w:val="22"/>
        </w:rPr>
        <w:t xml:space="preserve"> Managed by the </w:t>
      </w:r>
      <w:r>
        <w:rPr>
          <w:rFonts w:eastAsia="Consolas" w:ascii="Consolas" w:cs="Consolas" w:hAnsi="Consolas"/>
          <w:sz w:val="22"/>
          <w:shd w:fill="EFF0F1"/>
        </w:rPr>
        <w:t>Pricing Rule</w:t>
      </w:r>
      <w:r>
        <w:rPr>
          <w:rFonts w:eastAsia="等线" w:ascii="Arial" w:cs="Arial" w:hAnsi="Arial"/>
          <w:sz w:val="22"/>
        </w:rPr>
        <w:t xml:space="preserve"> engine. If multiple rules apply, the system respects a configured "Priority" integer, or can be set to always pick the lowest price.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Price / Cost visibility:</w:t>
      </w:r>
      <w:r>
        <w:rPr>
          <w:rFonts w:eastAsia="等线" w:ascii="Arial" w:cs="Arial" w:hAnsi="Arial"/>
          <w:sz w:val="22"/>
        </w:rPr>
        <w:t xml:space="preserve"> Yes, field-level permissions can hide Selling Price or Valuation Rate (Cost) fields from selected roles.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Price editing:</w:t>
      </w:r>
      <w:r>
        <w:rPr>
          <w:rFonts w:eastAsia="等线" w:ascii="Arial" w:cs="Arial" w:hAnsi="Arial"/>
          <w:sz w:val="22"/>
        </w:rPr>
        <w:t xml:space="preserve"> Yes, permission to manually edit the </w:t>
      </w:r>
      <w:r>
        <w:rPr>
          <w:rFonts w:eastAsia="Consolas" w:ascii="Consolas" w:cs="Consolas" w:hAnsi="Consolas"/>
          <w:sz w:val="22"/>
          <w:shd w:fill="EFF0F1"/>
        </w:rPr>
        <w:t>Rate</w:t>
      </w:r>
      <w:r>
        <w:rPr>
          <w:rFonts w:eastAsia="等线" w:ascii="Arial" w:cs="Arial" w:hAnsi="Arial"/>
          <w:sz w:val="22"/>
        </w:rPr>
        <w:t xml:space="preserve"> field on an order can be disabled for specific roles.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Manual price override:</w:t>
      </w:r>
      <w:r>
        <w:rPr>
          <w:rFonts w:eastAsia="等线" w:ascii="Arial" w:cs="Arial" w:hAnsi="Arial"/>
          <w:sz w:val="22"/>
        </w:rPr>
        <w:t xml:space="preserve"> Can be disabled, or configured to trigger a Workflow approval if the manual price breaches a threshold.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Minimum selling price / Max discount:</w:t>
      </w:r>
      <w:r>
        <w:rPr>
          <w:rFonts w:eastAsia="等线" w:ascii="Arial" w:cs="Arial" w:hAnsi="Arial"/>
          <w:sz w:val="22"/>
        </w:rPr>
        <w:t xml:space="preserve"> Yes, minimum margin checks and Maximum Discount % thresholds are configurable on the item or via Pricing Rules.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Discount permissions:</w:t>
      </w:r>
      <w:r>
        <w:rPr>
          <w:rFonts w:eastAsia="等线" w:ascii="Arial" w:cs="Arial" w:hAnsi="Arial"/>
          <w:sz w:val="22"/>
        </w:rPr>
        <w:t xml:space="preserve"> Yes, discount authority (e.g., Sales User can give 5%, Manager can give 15%) is handled via Pricing Rules and Workflows.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Quantity / tier pricing:</w:t>
      </w:r>
      <w:r>
        <w:rPr>
          <w:rFonts w:eastAsia="等线" w:ascii="Arial" w:cs="Arial" w:hAnsi="Arial"/>
          <w:sz w:val="22"/>
        </w:rPr>
        <w:t xml:space="preserve"> Yes, standard behavior. Pricing Rules support Min Qty and Max Qty brackets for volume discounts.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Zero / missing price:</w:t>
      </w:r>
      <w:r>
        <w:rPr>
          <w:rFonts w:eastAsia="等线" w:ascii="Arial" w:cs="Arial" w:hAnsi="Arial"/>
          <w:sz w:val="22"/>
        </w:rPr>
        <w:t xml:space="preserve"> Configurable. The system can be set to Block the transaction, Warn the user, or Allow zero-value items.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Price exception approval:</w:t>
      </w:r>
      <w:r>
        <w:rPr>
          <w:rFonts w:eastAsia="等线" w:ascii="Arial" w:cs="Arial" w:hAnsi="Arial"/>
          <w:sz w:val="22"/>
        </w:rPr>
        <w:t xml:space="preserve"> Yes, if a price violates rules, the order is saved as a "Draft" and enters a Workflow requiring Manager approval.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7. Credit Control</w:t>
      </w:r>
      <w:bookmarkEnd w:id="7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Credit limit source:</w:t>
      </w:r>
      <w:r>
        <w:rPr>
          <w:rFonts w:eastAsia="等线" w:ascii="Arial" w:cs="Arial" w:hAnsi="Arial"/>
          <w:sz w:val="22"/>
        </w:rPr>
        <w:t xml:space="preserve"> Defined on the Customer record or inherited from the Customer Group.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Credit exposure source:</w:t>
      </w:r>
      <w:r>
        <w:rPr>
          <w:rFonts w:eastAsia="等线" w:ascii="Arial" w:cs="Arial" w:hAnsi="Arial"/>
          <w:sz w:val="22"/>
        </w:rPr>
        <w:t xml:space="preserve"> Dynamically calculated based on outstanding (unpaid) Sales Invoices, plus (optionally) unbilled Sales Orders.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Draft/Submitted order treatment:</w:t>
      </w:r>
      <w:r>
        <w:rPr>
          <w:rFonts w:eastAsia="等线" w:ascii="Arial" w:cs="Arial" w:hAnsi="Arial"/>
          <w:sz w:val="22"/>
        </w:rPr>
        <w:t xml:space="preserve"> Draft orders do </w:t>
      </w:r>
      <w:r>
        <w:rPr>
          <w:rFonts w:eastAsia="等线" w:ascii="Arial" w:cs="Arial" w:hAnsi="Arial"/>
          <w:i w:val="true"/>
          <w:sz w:val="22"/>
        </w:rPr>
        <w:t>not</w:t>
      </w:r>
      <w:r>
        <w:rPr>
          <w:rFonts w:eastAsia="等线" w:ascii="Arial" w:cs="Arial" w:hAnsi="Arial"/>
          <w:sz w:val="22"/>
        </w:rPr>
        <w:t xml:space="preserve"> contribute to exposure. Submitted/Unfulfilled orders </w:t>
      </w:r>
      <w:r>
        <w:rPr>
          <w:rFonts w:eastAsia="等线" w:ascii="Arial" w:cs="Arial" w:hAnsi="Arial"/>
          <w:i w:val="true"/>
          <w:sz w:val="22"/>
        </w:rPr>
        <w:t>can</w:t>
      </w:r>
      <w:r>
        <w:rPr>
          <w:rFonts w:eastAsia="等线" w:ascii="Arial" w:cs="Arial" w:hAnsi="Arial"/>
          <w:sz w:val="22"/>
        </w:rPr>
        <w:t xml:space="preserve"> contribute (this is a configurable toggle).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Over-limit behaviour:</w:t>
      </w:r>
      <w:r>
        <w:rPr>
          <w:rFonts w:eastAsia="等线" w:ascii="Arial" w:cs="Arial" w:hAnsi="Arial"/>
          <w:sz w:val="22"/>
        </w:rPr>
        <w:t xml:space="preserve"> Configurable. Can be set to a "Hard Stop" (Block), or "Warn" (which can then route the order to an Approval Workflow).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Warning vs hard block:</w:t>
      </w:r>
      <w:r>
        <w:rPr>
          <w:rFonts w:eastAsia="等线" w:ascii="Arial" w:cs="Arial" w:hAnsi="Arial"/>
          <w:sz w:val="22"/>
        </w:rPr>
        <w:t xml:space="preserve"> Fully configurable per client.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Credit override:</w:t>
      </w:r>
      <w:r>
        <w:rPr>
          <w:rFonts w:eastAsia="等线" w:ascii="Arial" w:cs="Arial" w:hAnsi="Arial"/>
          <w:sz w:val="22"/>
        </w:rPr>
        <w:t xml:space="preserve"> Yes, roles with "Credit Controller" permissions can override blocks, or approve the pending workflow.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Credit exception customers:</w:t>
      </w:r>
      <w:r>
        <w:rPr>
          <w:rFonts w:eastAsia="等线" w:ascii="Arial" w:cs="Arial" w:hAnsi="Arial"/>
          <w:sz w:val="22"/>
        </w:rPr>
        <w:t xml:space="preserve"> Yes, credit control can be bypassed for specific customers by checking the "Bypass Credit Limit Check" flag.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Overdue balance behaviour:</w:t>
      </w:r>
      <w:r>
        <w:rPr>
          <w:rFonts w:eastAsia="等线" w:ascii="Arial" w:cs="Arial" w:hAnsi="Arial"/>
          <w:sz w:val="22"/>
        </w:rPr>
        <w:t xml:space="preserve"> Yes, separate from the overall limit, the system can block new orders if the customer has </w:t>
      </w:r>
      <w:r>
        <w:rPr>
          <w:rFonts w:eastAsia="等线" w:ascii="Arial" w:cs="Arial" w:hAnsi="Arial"/>
          <w:i w:val="true"/>
          <w:sz w:val="22"/>
        </w:rPr>
        <w:t>any</w:t>
      </w:r>
      <w:r>
        <w:rPr>
          <w:rFonts w:eastAsia="等线" w:ascii="Arial" w:cs="Arial" w:hAnsi="Arial"/>
          <w:sz w:val="22"/>
        </w:rPr>
        <w:t xml:space="preserve"> invoices overdue beyond a specified parameter.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8. Approvals &amp; Overrides</w:t>
      </w:r>
      <w:bookmarkEnd w:id="8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Approval triggers:</w:t>
      </w:r>
      <w:r>
        <w:rPr>
          <w:rFonts w:eastAsia="等线" w:ascii="Arial" w:cs="Arial" w:hAnsi="Arial"/>
          <w:sz w:val="22"/>
        </w:rPr>
        <w:t xml:space="preserve"> Orders, price exceptions, discount thresholds, and credit limit breaches can all trigger an approval requirement.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Approval thresholds:</w:t>
      </w:r>
      <w:r>
        <w:rPr>
          <w:rFonts w:eastAsia="等线" w:ascii="Arial" w:cs="Arial" w:hAnsi="Arial"/>
          <w:sz w:val="22"/>
        </w:rPr>
        <w:t xml:space="preserve"> Yes, conditional logic (e.g., </w:t>
      </w:r>
      <w:r>
        <w:rPr>
          <w:rFonts w:eastAsia="Consolas" w:ascii="Consolas" w:cs="Consolas" w:hAnsi="Consolas"/>
          <w:sz w:val="22"/>
          <w:shd w:fill="EFF0F1"/>
        </w:rPr>
        <w:t>Discount &gt; 20%</w:t>
      </w:r>
      <w:r>
        <w:rPr>
          <w:rFonts w:eastAsia="等线" w:ascii="Arial" w:cs="Arial" w:hAnsi="Arial"/>
          <w:sz w:val="22"/>
        </w:rPr>
        <w:t xml:space="preserve"> or </w:t>
      </w:r>
      <w:r>
        <w:rPr>
          <w:rFonts w:eastAsia="Consolas" w:ascii="Consolas" w:cs="Consolas" w:hAnsi="Consolas"/>
          <w:sz w:val="22"/>
          <w:shd w:fill="EFF0F1"/>
        </w:rPr>
        <w:t>Amount &gt; $10,000</w:t>
      </w:r>
      <w:r>
        <w:rPr>
          <w:rFonts w:eastAsia="等线" w:ascii="Arial" w:cs="Arial" w:hAnsi="Arial"/>
          <w:sz w:val="22"/>
        </w:rPr>
        <w:t>) within the Workflow engine allows thresholds to vary by client.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Approver roles:</w:t>
      </w:r>
      <w:r>
        <w:rPr>
          <w:rFonts w:eastAsia="等线" w:ascii="Arial" w:cs="Arial" w:hAnsi="Arial"/>
          <w:sz w:val="22"/>
        </w:rPr>
        <w:t xml:space="preserve"> Configurable in the Workflow engine (e.g., routing to "Finance Manager" vs "Sales Director").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Multi-level approval:</w:t>
      </w:r>
      <w:r>
        <w:rPr>
          <w:rFonts w:eastAsia="等线" w:ascii="Arial" w:cs="Arial" w:hAnsi="Arial"/>
          <w:sz w:val="22"/>
        </w:rPr>
        <w:t xml:space="preserve"> Yes, core MAIA supports unlimited sequential or parallel approval levels.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Rejection &amp; Resubmission:</w:t>
      </w:r>
      <w:r>
        <w:rPr>
          <w:rFonts w:eastAsia="等线" w:ascii="Arial" w:cs="Arial" w:hAnsi="Arial"/>
          <w:sz w:val="22"/>
        </w:rPr>
        <w:t xml:space="preserve"> Rejected documents revert to a "Draft" or "Rejected" state. They can be amended, fixing the issue, and resubmitted for approval without starting from scratch.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9. Sales Orders</w:t>
      </w:r>
      <w:bookmarkEnd w:id="9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 creation permission:</w:t>
      </w:r>
      <w:r>
        <w:rPr>
          <w:rFonts w:eastAsia="等线" w:ascii="Arial" w:cs="Arial" w:hAnsi="Arial"/>
          <w:sz w:val="22"/>
        </w:rPr>
        <w:t xml:space="preserve"> Configurable via Role Permissions.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Draft creation:</w:t>
      </w:r>
      <w:r>
        <w:rPr>
          <w:rFonts w:eastAsia="等线" w:ascii="Arial" w:cs="Arial" w:hAnsi="Arial"/>
          <w:sz w:val="22"/>
        </w:rPr>
        <w:t xml:space="preserve"> Yes, documents are created in "Draft" state first. Chatbot interactions can be configured to auto-submit if confidence/rules are met.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Confirmation before creation:</w:t>
      </w:r>
      <w:r>
        <w:rPr>
          <w:rFonts w:eastAsia="等线" w:ascii="Arial" w:cs="Arial" w:hAnsi="Arial"/>
          <w:sz w:val="22"/>
        </w:rPr>
        <w:t xml:space="preserve"> Yes, chatbot flows typically require explicit confirmation before finalizing a draft into a Submitted SO.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Mandatory fields &amp; Defaults:</w:t>
      </w:r>
      <w:r>
        <w:rPr>
          <w:rFonts w:eastAsia="等线" w:ascii="Arial" w:cs="Arial" w:hAnsi="Arial"/>
          <w:sz w:val="22"/>
        </w:rPr>
        <w:t xml:space="preserve"> Highly configurable per client via the </w:t>
      </w:r>
      <w:r>
        <w:rPr>
          <w:rFonts w:eastAsia="Consolas" w:ascii="Consolas" w:cs="Consolas" w:hAnsi="Consolas"/>
          <w:sz w:val="22"/>
          <w:shd w:fill="EFF0F1"/>
        </w:rPr>
        <w:t>Customize Form</w:t>
      </w:r>
      <w:r>
        <w:rPr>
          <w:rFonts w:eastAsia="等线" w:ascii="Arial" w:cs="Arial" w:hAnsi="Arial"/>
          <w:sz w:val="22"/>
        </w:rPr>
        <w:t xml:space="preserve"> tool and Global Defaults.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Order numbering:</w:t>
      </w:r>
      <w:r>
        <w:rPr>
          <w:rFonts w:eastAsia="等线" w:ascii="Arial" w:cs="Arial" w:hAnsi="Arial"/>
          <w:sz w:val="22"/>
        </w:rPr>
        <w:t xml:space="preserve"> Driven by configurable </w:t>
      </w:r>
      <w:r>
        <w:rPr>
          <w:rFonts w:eastAsia="Consolas" w:ascii="Consolas" w:cs="Consolas" w:hAnsi="Consolas"/>
          <w:sz w:val="22"/>
          <w:shd w:fill="EFF0F1"/>
        </w:rPr>
        <w:t>Naming Series</w:t>
      </w:r>
      <w:r>
        <w:rPr>
          <w:rFonts w:eastAsia="等线" w:ascii="Arial" w:cs="Arial" w:hAnsi="Arial"/>
          <w:sz w:val="22"/>
        </w:rPr>
        <w:t xml:space="preserve"> templates (e.g., </w:t>
      </w:r>
      <w:r>
        <w:rPr>
          <w:rFonts w:eastAsia="Consolas" w:ascii="Consolas" w:cs="Consolas" w:hAnsi="Consolas"/>
          <w:sz w:val="22"/>
          <w:shd w:fill="EFF0F1"/>
        </w:rPr>
        <w:t>SO-.YYYY.-.####</w:t>
      </w:r>
      <w:r>
        <w:rPr>
          <w:rFonts w:eastAsia="等线" w:ascii="Arial" w:cs="Arial" w:hAnsi="Arial"/>
          <w:sz w:val="22"/>
        </w:rPr>
        <w:t>).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Order status flow:</w:t>
      </w:r>
      <w:r>
        <w:rPr>
          <w:rFonts w:eastAsia="等线" w:ascii="Arial" w:cs="Arial" w:hAnsi="Arial"/>
          <w:sz w:val="22"/>
        </w:rPr>
        <w:t xml:space="preserve"> Controlled by standard lifecycle (Draft -&gt; Submitted -&gt; Completed/Billed), which can be augmented by Custom Workflows.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Editing after submission:</w:t>
      </w:r>
      <w:r>
        <w:rPr>
          <w:rFonts w:eastAsia="等线" w:ascii="Arial" w:cs="Arial" w:hAnsi="Arial"/>
          <w:sz w:val="22"/>
        </w:rPr>
        <w:t xml:space="preserve"> By default, submitted orders cannot be modified. They must be Cancelled and Amended (maintaining a strict audit trail).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Cancellation &amp; Deletion:</w:t>
      </w:r>
      <w:r>
        <w:rPr>
          <w:rFonts w:eastAsia="等线" w:ascii="Arial" w:cs="Arial" w:hAnsi="Arial"/>
          <w:sz w:val="22"/>
        </w:rPr>
        <w:t xml:space="preserve"> Configurable by role. Cancellation retains the record; Deletion removes it (usually restricted to System Admin on drafts only).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Order ownership &amp; Visibility:</w:t>
      </w:r>
      <w:r>
        <w:rPr>
          <w:rFonts w:eastAsia="等线" w:ascii="Arial" w:cs="Arial" w:hAnsi="Arial"/>
          <w:sz w:val="22"/>
        </w:rPr>
        <w:t xml:space="preserve"> Tied to the user who created it and the assigned Sales Person. Visibility can be heavily restricted.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Duplicate detection:</w:t>
      </w:r>
      <w:r>
        <w:rPr>
          <w:rFonts w:eastAsia="等线" w:ascii="Arial" w:cs="Arial" w:hAnsi="Arial"/>
          <w:sz w:val="22"/>
        </w:rPr>
        <w:t xml:space="preserve"> The system prevents duplicate Customer PO Numbers on Sales Orders.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Stock, Price &amp; Credit validation:</w:t>
      </w:r>
      <w:r>
        <w:rPr>
          <w:rFonts w:eastAsia="等线" w:ascii="Arial" w:cs="Arial" w:hAnsi="Arial"/>
          <w:sz w:val="22"/>
        </w:rPr>
        <w:t xml:space="preserve"> Validation triggers upon hitting "Save" (creates Draft) and "Submit" (commits transaction). Stock can be configured to allow negative balances or hard block.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10. Quotation &amp; Documents</w:t>
      </w:r>
      <w:bookmarkEnd w:id="10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Quotation support:</w:t>
      </w:r>
      <w:r>
        <w:rPr>
          <w:rFonts w:eastAsia="等线" w:ascii="Arial" w:cs="Arial" w:hAnsi="Arial"/>
          <w:sz w:val="22"/>
        </w:rPr>
        <w:t xml:space="preserve"> Yes, fully supported core workflow. Can be converted directly to Sales Orders. Expiry dates are standard and configurable.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Supported document types:</w:t>
      </w:r>
      <w:r>
        <w:rPr>
          <w:rFonts w:eastAsia="等线" w:ascii="Arial" w:cs="Arial" w:hAnsi="Arial"/>
          <w:sz w:val="22"/>
        </w:rPr>
        <w:t xml:space="preserve"> Quotation, Sales Order, Delivery Note, Sales Invoice, Payment Entry, Credit Note, Return Note.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PDF Template &amp; Branding:</w:t>
      </w:r>
      <w:r>
        <w:rPr>
          <w:rFonts w:eastAsia="等线" w:ascii="Arial" w:cs="Arial" w:hAnsi="Arial"/>
          <w:sz w:val="22"/>
        </w:rPr>
        <w:t xml:space="preserve"> Document layouts (HTML/Jinja Print Formats) and Letter Heads (Logos, footers) are fully configurable per client via the UI without development.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Fields displayed:</w:t>
      </w:r>
      <w:r>
        <w:rPr>
          <w:rFonts w:eastAsia="等线" w:ascii="Arial" w:cs="Arial" w:hAnsi="Arial"/>
          <w:sz w:val="22"/>
        </w:rPr>
        <w:t xml:space="preserve"> Columns and fields shown on printouts can be customized via the Print Format Builder.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ERP-format reproduction:</w:t>
      </w:r>
      <w:r>
        <w:rPr>
          <w:rFonts w:eastAsia="等线" w:ascii="Arial" w:cs="Arial" w:hAnsi="Arial"/>
          <w:sz w:val="22"/>
        </w:rPr>
        <w:t xml:space="preserve"> Matching a legacy ERP format identically is possible via configuration (writing custom HTML/CSS Print Formats), requiring technical configuration but no core code changes.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11. Warehouse / Inventory</w:t>
      </w:r>
      <w:bookmarkEnd w:id="11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Multiple warehouses:</w:t>
      </w:r>
      <w:r>
        <w:rPr>
          <w:rFonts w:eastAsia="等线" w:ascii="Arial" w:cs="Arial" w:hAnsi="Arial"/>
          <w:sz w:val="22"/>
        </w:rPr>
        <w:t xml:space="preserve"> Yes, standard support for nested warehouse trees per account.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Warehouse visibility/assignment:</w:t>
      </w:r>
      <w:r>
        <w:rPr>
          <w:rFonts w:eastAsia="等线" w:ascii="Arial" w:cs="Arial" w:hAnsi="Arial"/>
          <w:sz w:val="22"/>
        </w:rPr>
        <w:t xml:space="preserve"> Restricted via User Permissions.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Default warehouse:</w:t>
      </w:r>
      <w:r>
        <w:rPr>
          <w:rFonts w:eastAsia="等线" w:ascii="Arial" w:cs="Arial" w:hAnsi="Arial"/>
          <w:sz w:val="22"/>
        </w:rPr>
        <w:t xml:space="preserve"> Can be configured globally, per user, or per item.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Stock source:</w:t>
      </w:r>
      <w:r>
        <w:rPr>
          <w:rFonts w:eastAsia="等线" w:ascii="Arial" w:cs="Arial" w:hAnsi="Arial"/>
          <w:sz w:val="22"/>
        </w:rPr>
        <w:t xml:space="preserve"> Driven by the immutable </w:t>
      </w:r>
      <w:r>
        <w:rPr>
          <w:rFonts w:eastAsia="Consolas" w:ascii="Consolas" w:cs="Consolas" w:hAnsi="Consolas"/>
          <w:sz w:val="22"/>
          <w:shd w:fill="EFF0F1"/>
        </w:rPr>
        <w:t>Stock Ledger Entry</w:t>
      </w:r>
      <w:r>
        <w:rPr>
          <w:rFonts w:eastAsia="等线" w:ascii="Arial" w:cs="Arial" w:hAnsi="Arial"/>
          <w:sz w:val="22"/>
        </w:rPr>
        <w:t xml:space="preserve"> table.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Querying stock:</w:t>
      </w:r>
      <w:r>
        <w:rPr>
          <w:rFonts w:eastAsia="等线" w:ascii="Arial" w:cs="Arial" w:hAnsi="Arial"/>
          <w:sz w:val="22"/>
        </w:rPr>
        <w:t xml:space="preserve"> Users can view stock by specific warehouse via the Stock Balance reports.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Available vs physical stock:</w:t>
      </w:r>
      <w:r>
        <w:rPr>
          <w:rFonts w:eastAsia="等线" w:ascii="Arial" w:cs="Arial" w:hAnsi="Arial"/>
          <w:sz w:val="22"/>
        </w:rPr>
        <w:t xml:space="preserve"> MAIA tracks both "Actual Qty" (physical) and "Projected Qty" (actual - reserved for orders + expected). Sales validations check Projected Qty.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Negative stock:</w:t>
      </w:r>
      <w:r>
        <w:rPr>
          <w:rFonts w:eastAsia="等线" w:ascii="Arial" w:cs="Arial" w:hAnsi="Arial"/>
          <w:sz w:val="22"/>
        </w:rPr>
        <w:t xml:space="preserve"> System-wide configuration to either "Allow Negative Stock" or block transactions when insufficient.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12. Chatbot &amp; AI</w:t>
      </w:r>
      <w:bookmarkEnd w:id="12"/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Inputs:</w:t>
      </w:r>
      <w:r>
        <w:rPr>
          <w:rFonts w:eastAsia="等线" w:ascii="Arial" w:cs="Arial" w:hAnsi="Arial"/>
          <w:sz w:val="22"/>
        </w:rPr>
        <w:t xml:space="preserve"> WhatsApp text is standard. Processing Images, PDF POs, and Voice-notes is handled natively via the MAIA middleware pipeline (OCR/Whisper integrations).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Supported languages:</w:t>
      </w:r>
      <w:r>
        <w:rPr>
          <w:rFonts w:eastAsia="等线" w:ascii="Arial" w:cs="Arial" w:hAnsi="Arial"/>
          <w:sz w:val="22"/>
        </w:rPr>
        <w:t xml:space="preserve"> LLM-driven intent parsing supports multiple languages seamlessly (English, Malay, Mandarin).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Configurable behaviours:</w:t>
      </w:r>
      <w:r>
        <w:rPr>
          <w:rFonts w:eastAsia="等线" w:ascii="Arial" w:cs="Arial" w:hAnsi="Arial"/>
          <w:sz w:val="22"/>
        </w:rPr>
        <w:t xml:space="preserve"> Greetings, active intents, response tone, verbosity, and confirmation thresholds are heavily configurable per tenant in the middleware layer.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Clarification &amp; Fallback:</w:t>
      </w:r>
      <w:r>
        <w:rPr>
          <w:rFonts w:eastAsia="等线" w:ascii="Arial" w:cs="Arial" w:hAnsi="Arial"/>
          <w:sz w:val="22"/>
        </w:rPr>
        <w:t xml:space="preserve"> If the AI confidence falls below a set threshold, it will ask the user clarifying questions. If it continually fails, it routes the conversation to a human agent inbox.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Matching (Customers/Items):</w:t>
      </w:r>
      <w:r>
        <w:rPr>
          <w:rFonts w:eastAsia="等线" w:ascii="Arial" w:cs="Arial" w:hAnsi="Arial"/>
          <w:sz w:val="22"/>
        </w:rPr>
        <w:t xml:space="preserve"> Uses fuzzy semantic matching. Account-specific aliases can be injected to improve accuracy. Ambiguous matches prompt the user to select from a list.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13. Integration &amp; Source of Truth</w:t>
      </w:r>
      <w:bookmarkEnd w:id="13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Supported ERPs:</w:t>
      </w:r>
      <w:r>
        <w:rPr>
          <w:rFonts w:eastAsia="等线" w:ascii="Arial" w:cs="Arial" w:hAnsi="Arial"/>
          <w:sz w:val="22"/>
        </w:rPr>
        <w:t xml:space="preserve"> Existing adapters for AutoCount, SQL Accounting, Xero, etc.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Deployment model:</w:t>
      </w:r>
      <w:r>
        <w:rPr>
          <w:rFonts w:eastAsia="等线" w:ascii="Arial" w:cs="Arial" w:hAnsi="Arial"/>
          <w:sz w:val="22"/>
        </w:rPr>
        <w:t xml:space="preserve"> Cloud instances use API integrations. On-premise legacy ERPs connect via secure tunnel/connectors.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Sync behaviour:</w:t>
      </w:r>
      <w:r>
        <w:rPr>
          <w:rFonts w:eastAsia="等线" w:ascii="Arial" w:cs="Arial" w:hAnsi="Arial"/>
          <w:sz w:val="22"/>
        </w:rPr>
        <w:t xml:space="preserve"> Frequency, direction (bidirectional vs one-way), and external ID mapping are entirely configurable based on the integration adapter setup.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Failure &amp; Retry:</w:t>
      </w:r>
      <w:r>
        <w:rPr>
          <w:rFonts w:eastAsia="等线" w:ascii="Arial" w:cs="Arial" w:hAnsi="Arial"/>
          <w:sz w:val="22"/>
        </w:rPr>
        <w:t xml:space="preserve"> Background queue workers (Celery) handle automatic retries for temporary network failures. Persistent failures generate an Error Log and notify administrators.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Source of Truth:</w:t>
      </w:r>
      <w:r>
        <w:rPr>
          <w:rFonts w:eastAsia="等线" w:ascii="Arial" w:cs="Arial" w:hAnsi="Arial"/>
          <w:sz w:val="22"/>
        </w:rPr>
        <w:t xml:space="preserve"> Highly flexible. Implementations define whether MAIA or the ERP owns Master Data (Customers/Items). Typically, MAIA owns Sales Orders, while the ERP owns Invoicing and Payments.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Conflict resolution:</w:t>
      </w:r>
      <w:r>
        <w:rPr>
          <w:rFonts w:eastAsia="等线" w:ascii="Arial" w:cs="Arial" w:hAnsi="Arial"/>
          <w:sz w:val="22"/>
        </w:rPr>
        <w:t xml:space="preserve"> Generally relies on a timestamp-based "latest wins" approach or an explicit "ERP is master" policy.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14. Data Import &amp; Multi-Entity</w:t>
      </w:r>
      <w:bookmarkEnd w:id="14"/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Data Import:</w:t>
      </w:r>
      <w:r>
        <w:rPr>
          <w:rFonts w:eastAsia="等线" w:ascii="Arial" w:cs="Arial" w:hAnsi="Arial"/>
          <w:sz w:val="22"/>
        </w:rPr>
        <w:t xml:space="preserve"> The standard Data Import tool supports CSV/Excel for bulk loading Customers, Items, Pricing, etc. It dynamically includes any custom fields added for the client. Re-import updates existing records based on ID.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Multi-Entity:</w:t>
      </w:r>
      <w:r>
        <w:rPr>
          <w:rFonts w:eastAsia="等线" w:ascii="Arial" w:cs="Arial" w:hAnsi="Arial"/>
          <w:sz w:val="22"/>
        </w:rPr>
        <w:t xml:space="preserve"> A single tenant can host multiple Companies. Data separation is strict. Master data (Items, Customers) can be shared, while transactional data (Pricing, Warehouses, Orders, Ledgers) remains isolated per entity.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15. Exceptions, Audit &amp; Reporting</w:t>
      </w:r>
      <w:bookmarkEnd w:id="15"/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Exceptions:</w:t>
      </w:r>
      <w:r>
        <w:rPr>
          <w:rFonts w:eastAsia="等线" w:ascii="Arial" w:cs="Arial" w:hAnsi="Arial"/>
          <w:sz w:val="22"/>
        </w:rPr>
        <w:t xml:space="preserve"> If prices are missing, stock is low, or credit is breached, MAIA can be configured to either hard block the user, or generate a Draft and initiate an Approval Workflow.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Audit / History:</w:t>
      </w:r>
      <w:r>
        <w:rPr>
          <w:rFonts w:eastAsia="等线" w:ascii="Arial" w:cs="Arial" w:hAnsi="Arial"/>
          <w:sz w:val="22"/>
        </w:rPr>
        <w:t xml:space="preserve"> Every record has an activity log. The </w:t>
      </w:r>
      <w:r>
        <w:rPr>
          <w:rFonts w:eastAsia="Consolas" w:ascii="Consolas" w:cs="Consolas" w:hAnsi="Consolas"/>
          <w:sz w:val="22"/>
          <w:shd w:fill="EFF0F1"/>
        </w:rPr>
        <w:t>Version</w:t>
      </w:r>
      <w:r>
        <w:rPr>
          <w:rFonts w:eastAsia="等线" w:ascii="Arial" w:cs="Arial" w:hAnsi="Arial"/>
          <w:sz w:val="22"/>
        </w:rPr>
        <w:t xml:space="preserve"> module captures granular field-level before/after changes. History retention is configurable.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Reporting:</w:t>
      </w:r>
      <w:r>
        <w:rPr>
          <w:rFonts w:eastAsia="等线" w:ascii="Arial" w:cs="Arial" w:hAnsi="Arial"/>
          <w:sz w:val="22"/>
        </w:rPr>
        <w:t xml:space="preserve"> MAIA includes standard Dashboards and a Report Builder for custom tabular/chart reports. Access to reports is heavily governed by Role Permissions. Client-specific KPIs can be configured without development.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16. Tenant / Technical Configuration</w:t>
      </w:r>
      <w:bookmarkEnd w:id="16"/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Feature flags / Tenant config:</w:t>
      </w:r>
      <w:r>
        <w:rPr>
          <w:rFonts w:eastAsia="等线" w:ascii="Arial" w:cs="Arial" w:hAnsi="Arial"/>
          <w:sz w:val="22"/>
        </w:rPr>
        <w:t xml:space="preserve"> Feature toggles are managed via Domain Settings or the </w:t>
      </w:r>
      <w:r>
        <w:rPr>
          <w:rFonts w:eastAsia="Consolas" w:ascii="Consolas" w:cs="Consolas" w:hAnsi="Consolas"/>
          <w:sz w:val="22"/>
          <w:shd w:fill="EFF0F1"/>
        </w:rPr>
        <w:t>site_config.json</w:t>
      </w:r>
      <w:r>
        <w:rPr>
          <w:rFonts w:eastAsia="等线" w:ascii="Arial" w:cs="Arial" w:hAnsi="Arial"/>
          <w:sz w:val="22"/>
        </w:rPr>
        <w:t xml:space="preserve"> tenant configuration file.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Database / Env:</w:t>
      </w:r>
      <w:r>
        <w:rPr>
          <w:rFonts w:eastAsia="等线" w:ascii="Arial" w:cs="Arial" w:hAnsi="Arial"/>
          <w:sz w:val="22"/>
        </w:rPr>
        <w:t xml:space="preserve"> Site-level behaviour is in the DB (Global Defaults). Infrastructure configs (API keys, ports) live in environment variables.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Deployment required:</w:t>
      </w:r>
      <w:r>
        <w:rPr>
          <w:rFonts w:eastAsia="等线" w:ascii="Arial" w:cs="Arial" w:hAnsi="Arial"/>
          <w:sz w:val="22"/>
        </w:rPr>
        <w:t xml:space="preserve"> Minor UI changes (Print Formats, Workflows, Custom Fields) happen live. Major structural schema changes, Python business logic updates, or new middleware adapters require a deployment/restart.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1033">
    <w:lvl>
      <w:numFmt w:val="bullet"/>
      <w:suff w:val="tab"/>
      <w:lvlText w:val="•"/>
      <w:rPr>
        <w:color w:val="3370ff"/>
      </w:rPr>
    </w:lvl>
  </w:abstractNum>
  <w:abstractNum w:abstractNumId="261034">
    <w:lvl>
      <w:numFmt w:val="bullet"/>
      <w:suff w:val="tab"/>
      <w:lvlText w:val="•"/>
      <w:rPr>
        <w:color w:val="3370ff"/>
      </w:rPr>
    </w:lvl>
  </w:abstractNum>
  <w:abstractNum w:abstractNumId="261035">
    <w:lvl>
      <w:numFmt w:val="bullet"/>
      <w:suff w:val="tab"/>
      <w:lvlText w:val="•"/>
      <w:rPr>
        <w:color w:val="3370ff"/>
      </w:rPr>
    </w:lvl>
  </w:abstractNum>
  <w:abstractNum w:abstractNumId="261036">
    <w:lvl>
      <w:numFmt w:val="bullet"/>
      <w:suff w:val="tab"/>
      <w:lvlText w:val="•"/>
      <w:rPr>
        <w:color w:val="3370ff"/>
      </w:rPr>
    </w:lvl>
  </w:abstractNum>
  <w:abstractNum w:abstractNumId="261037">
    <w:lvl>
      <w:numFmt w:val="bullet"/>
      <w:suff w:val="tab"/>
      <w:lvlText w:val="•"/>
      <w:rPr>
        <w:color w:val="3370ff"/>
      </w:rPr>
    </w:lvl>
  </w:abstractNum>
  <w:abstractNum w:abstractNumId="261038">
    <w:lvl>
      <w:numFmt w:val="bullet"/>
      <w:suff w:val="tab"/>
      <w:lvlText w:val="•"/>
      <w:rPr>
        <w:color w:val="3370ff"/>
      </w:rPr>
    </w:lvl>
  </w:abstractNum>
  <w:abstractNum w:abstractNumId="261039">
    <w:lvl>
      <w:numFmt w:val="bullet"/>
      <w:suff w:val="tab"/>
      <w:lvlText w:val="•"/>
      <w:rPr>
        <w:color w:val="3370ff"/>
      </w:rPr>
    </w:lvl>
  </w:abstractNum>
  <w:abstractNum w:abstractNumId="261040">
    <w:lvl>
      <w:numFmt w:val="bullet"/>
      <w:suff w:val="tab"/>
      <w:lvlText w:val="•"/>
      <w:rPr>
        <w:color w:val="3370ff"/>
      </w:rPr>
    </w:lvl>
  </w:abstractNum>
  <w:abstractNum w:abstractNumId="261041">
    <w:lvl>
      <w:numFmt w:val="bullet"/>
      <w:suff w:val="tab"/>
      <w:lvlText w:val="•"/>
      <w:rPr>
        <w:color w:val="3370ff"/>
      </w:rPr>
    </w:lvl>
  </w:abstractNum>
  <w:abstractNum w:abstractNumId="261042">
    <w:lvl>
      <w:numFmt w:val="bullet"/>
      <w:suff w:val="tab"/>
      <w:lvlText w:val="•"/>
      <w:rPr>
        <w:color w:val="3370ff"/>
      </w:rPr>
    </w:lvl>
  </w:abstractNum>
  <w:abstractNum w:abstractNumId="261043">
    <w:lvl>
      <w:numFmt w:val="bullet"/>
      <w:suff w:val="tab"/>
      <w:lvlText w:val="•"/>
      <w:rPr>
        <w:color w:val="3370ff"/>
      </w:rPr>
    </w:lvl>
  </w:abstractNum>
  <w:abstractNum w:abstractNumId="261044">
    <w:lvl>
      <w:numFmt w:val="bullet"/>
      <w:suff w:val="tab"/>
      <w:lvlText w:val="•"/>
      <w:rPr>
        <w:color w:val="3370ff"/>
      </w:rPr>
    </w:lvl>
  </w:abstractNum>
  <w:abstractNum w:abstractNumId="261045">
    <w:lvl>
      <w:numFmt w:val="bullet"/>
      <w:suff w:val="tab"/>
      <w:lvlText w:val="•"/>
      <w:rPr>
        <w:color w:val="3370ff"/>
      </w:rPr>
    </w:lvl>
  </w:abstractNum>
  <w:abstractNum w:abstractNumId="261046">
    <w:lvl>
      <w:numFmt w:val="bullet"/>
      <w:suff w:val="tab"/>
      <w:lvlText w:val="•"/>
      <w:rPr>
        <w:color w:val="3370ff"/>
      </w:rPr>
    </w:lvl>
  </w:abstractNum>
  <w:abstractNum w:abstractNumId="261047">
    <w:lvl>
      <w:numFmt w:val="bullet"/>
      <w:suff w:val="tab"/>
      <w:lvlText w:val="•"/>
      <w:rPr>
        <w:color w:val="3370ff"/>
      </w:rPr>
    </w:lvl>
  </w:abstractNum>
  <w:abstractNum w:abstractNumId="261048">
    <w:lvl>
      <w:numFmt w:val="bullet"/>
      <w:suff w:val="tab"/>
      <w:lvlText w:val="•"/>
      <w:rPr>
        <w:color w:val="3370ff"/>
      </w:rPr>
    </w:lvl>
  </w:abstractNum>
  <w:abstractNum w:abstractNumId="261049">
    <w:lvl>
      <w:numFmt w:val="bullet"/>
      <w:suff w:val="tab"/>
      <w:lvlText w:val="•"/>
      <w:rPr>
        <w:color w:val="3370ff"/>
      </w:rPr>
    </w:lvl>
  </w:abstractNum>
  <w:abstractNum w:abstractNumId="261050">
    <w:lvl>
      <w:numFmt w:val="bullet"/>
      <w:suff w:val="tab"/>
      <w:lvlText w:val="•"/>
      <w:rPr>
        <w:color w:val="3370ff"/>
      </w:rPr>
    </w:lvl>
  </w:abstractNum>
  <w:abstractNum w:abstractNumId="261051">
    <w:lvl>
      <w:numFmt w:val="bullet"/>
      <w:suff w:val="tab"/>
      <w:lvlText w:val="•"/>
      <w:rPr>
        <w:color w:val="3370ff"/>
      </w:rPr>
    </w:lvl>
  </w:abstractNum>
  <w:abstractNum w:abstractNumId="261052">
    <w:lvl>
      <w:numFmt w:val="bullet"/>
      <w:suff w:val="tab"/>
      <w:lvlText w:val="•"/>
      <w:rPr>
        <w:color w:val="3370ff"/>
      </w:rPr>
    </w:lvl>
  </w:abstractNum>
  <w:abstractNum w:abstractNumId="261053">
    <w:lvl>
      <w:numFmt w:val="bullet"/>
      <w:suff w:val="tab"/>
      <w:lvlText w:val="•"/>
      <w:rPr>
        <w:color w:val="3370ff"/>
      </w:rPr>
    </w:lvl>
  </w:abstractNum>
  <w:abstractNum w:abstractNumId="261054">
    <w:lvl>
      <w:numFmt w:val="bullet"/>
      <w:suff w:val="tab"/>
      <w:lvlText w:val="•"/>
      <w:rPr>
        <w:color w:val="3370ff"/>
      </w:rPr>
    </w:lvl>
  </w:abstractNum>
  <w:abstractNum w:abstractNumId="261055">
    <w:lvl>
      <w:numFmt w:val="bullet"/>
      <w:suff w:val="tab"/>
      <w:lvlText w:val="•"/>
      <w:rPr>
        <w:color w:val="3370ff"/>
      </w:rPr>
    </w:lvl>
  </w:abstractNum>
  <w:abstractNum w:abstractNumId="261056">
    <w:lvl>
      <w:numFmt w:val="bullet"/>
      <w:suff w:val="tab"/>
      <w:lvlText w:val="•"/>
      <w:rPr>
        <w:color w:val="3370ff"/>
      </w:rPr>
    </w:lvl>
  </w:abstractNum>
  <w:abstractNum w:abstractNumId="261057">
    <w:lvl>
      <w:numFmt w:val="bullet"/>
      <w:suff w:val="tab"/>
      <w:lvlText w:val="•"/>
      <w:rPr>
        <w:color w:val="3370ff"/>
      </w:rPr>
    </w:lvl>
  </w:abstractNum>
  <w:abstractNum w:abstractNumId="261058">
    <w:lvl>
      <w:numFmt w:val="bullet"/>
      <w:suff w:val="tab"/>
      <w:lvlText w:val="•"/>
      <w:rPr>
        <w:color w:val="3370ff"/>
      </w:rPr>
    </w:lvl>
  </w:abstractNum>
  <w:abstractNum w:abstractNumId="261059">
    <w:lvl>
      <w:numFmt w:val="bullet"/>
      <w:suff w:val="tab"/>
      <w:lvlText w:val="•"/>
      <w:rPr>
        <w:color w:val="3370ff"/>
      </w:rPr>
    </w:lvl>
  </w:abstractNum>
  <w:abstractNum w:abstractNumId="261060">
    <w:lvl>
      <w:numFmt w:val="bullet"/>
      <w:suff w:val="tab"/>
      <w:lvlText w:val="•"/>
      <w:rPr>
        <w:color w:val="3370ff"/>
      </w:rPr>
    </w:lvl>
  </w:abstractNum>
  <w:abstractNum w:abstractNumId="261061">
    <w:lvl>
      <w:numFmt w:val="bullet"/>
      <w:suff w:val="tab"/>
      <w:lvlText w:val="•"/>
      <w:rPr>
        <w:color w:val="3370ff"/>
      </w:rPr>
    </w:lvl>
  </w:abstractNum>
  <w:abstractNum w:abstractNumId="261062">
    <w:lvl>
      <w:numFmt w:val="bullet"/>
      <w:suff w:val="tab"/>
      <w:lvlText w:val="•"/>
      <w:rPr>
        <w:color w:val="3370ff"/>
      </w:rPr>
    </w:lvl>
  </w:abstractNum>
  <w:abstractNum w:abstractNumId="261063">
    <w:lvl>
      <w:numFmt w:val="bullet"/>
      <w:suff w:val="tab"/>
      <w:lvlText w:val="•"/>
      <w:rPr>
        <w:color w:val="3370ff"/>
      </w:rPr>
    </w:lvl>
  </w:abstractNum>
  <w:abstractNum w:abstractNumId="261064">
    <w:lvl>
      <w:numFmt w:val="bullet"/>
      <w:suff w:val="tab"/>
      <w:lvlText w:val="•"/>
      <w:rPr>
        <w:color w:val="3370ff"/>
      </w:rPr>
    </w:lvl>
  </w:abstractNum>
  <w:abstractNum w:abstractNumId="261065">
    <w:lvl>
      <w:numFmt w:val="bullet"/>
      <w:suff w:val="tab"/>
      <w:lvlText w:val="•"/>
      <w:rPr>
        <w:color w:val="3370ff"/>
      </w:rPr>
    </w:lvl>
  </w:abstractNum>
  <w:abstractNum w:abstractNumId="261066">
    <w:lvl>
      <w:numFmt w:val="bullet"/>
      <w:suff w:val="tab"/>
      <w:lvlText w:val="•"/>
      <w:rPr>
        <w:color w:val="3370ff"/>
      </w:rPr>
    </w:lvl>
  </w:abstractNum>
  <w:abstractNum w:abstractNumId="261067">
    <w:lvl>
      <w:numFmt w:val="bullet"/>
      <w:suff w:val="tab"/>
      <w:lvlText w:val="•"/>
      <w:rPr>
        <w:color w:val="3370ff"/>
      </w:rPr>
    </w:lvl>
  </w:abstractNum>
  <w:abstractNum w:abstractNumId="261068">
    <w:lvl>
      <w:numFmt w:val="bullet"/>
      <w:suff w:val="tab"/>
      <w:lvlText w:val="•"/>
      <w:rPr>
        <w:color w:val="3370ff"/>
      </w:rPr>
    </w:lvl>
  </w:abstractNum>
  <w:abstractNum w:abstractNumId="261069">
    <w:lvl>
      <w:numFmt w:val="bullet"/>
      <w:suff w:val="tab"/>
      <w:lvlText w:val="•"/>
      <w:rPr>
        <w:color w:val="3370ff"/>
      </w:rPr>
    </w:lvl>
  </w:abstractNum>
  <w:abstractNum w:abstractNumId="261070">
    <w:lvl>
      <w:numFmt w:val="bullet"/>
      <w:suff w:val="tab"/>
      <w:lvlText w:val="•"/>
      <w:rPr>
        <w:color w:val="3370ff"/>
      </w:rPr>
    </w:lvl>
  </w:abstractNum>
  <w:abstractNum w:abstractNumId="261071">
    <w:lvl>
      <w:numFmt w:val="bullet"/>
      <w:suff w:val="tab"/>
      <w:lvlText w:val="•"/>
      <w:rPr>
        <w:color w:val="3370ff"/>
      </w:rPr>
    </w:lvl>
  </w:abstractNum>
  <w:abstractNum w:abstractNumId="261072">
    <w:lvl>
      <w:numFmt w:val="bullet"/>
      <w:suff w:val="tab"/>
      <w:lvlText w:val="•"/>
      <w:rPr>
        <w:color w:val="3370ff"/>
      </w:rPr>
    </w:lvl>
  </w:abstractNum>
  <w:abstractNum w:abstractNumId="261073">
    <w:lvl>
      <w:numFmt w:val="bullet"/>
      <w:suff w:val="tab"/>
      <w:lvlText w:val="•"/>
      <w:rPr>
        <w:color w:val="3370ff"/>
      </w:rPr>
    </w:lvl>
  </w:abstractNum>
  <w:abstractNum w:abstractNumId="261074">
    <w:lvl>
      <w:numFmt w:val="bullet"/>
      <w:suff w:val="tab"/>
      <w:lvlText w:val="•"/>
      <w:rPr>
        <w:color w:val="3370ff"/>
      </w:rPr>
    </w:lvl>
  </w:abstractNum>
  <w:abstractNum w:abstractNumId="261075">
    <w:lvl>
      <w:numFmt w:val="bullet"/>
      <w:suff w:val="tab"/>
      <w:lvlText w:val="•"/>
      <w:rPr>
        <w:color w:val="3370ff"/>
      </w:rPr>
    </w:lvl>
  </w:abstractNum>
  <w:abstractNum w:abstractNumId="261076">
    <w:lvl>
      <w:numFmt w:val="bullet"/>
      <w:suff w:val="tab"/>
      <w:lvlText w:val="•"/>
      <w:rPr>
        <w:color w:val="3370ff"/>
      </w:rPr>
    </w:lvl>
  </w:abstractNum>
  <w:abstractNum w:abstractNumId="261077">
    <w:lvl>
      <w:numFmt w:val="bullet"/>
      <w:suff w:val="tab"/>
      <w:lvlText w:val="•"/>
      <w:rPr>
        <w:color w:val="3370ff"/>
      </w:rPr>
    </w:lvl>
  </w:abstractNum>
  <w:abstractNum w:abstractNumId="261078">
    <w:lvl>
      <w:numFmt w:val="bullet"/>
      <w:suff w:val="tab"/>
      <w:lvlText w:val="•"/>
      <w:rPr>
        <w:color w:val="3370ff"/>
      </w:rPr>
    </w:lvl>
  </w:abstractNum>
  <w:abstractNum w:abstractNumId="261079">
    <w:lvl>
      <w:numFmt w:val="bullet"/>
      <w:suff w:val="tab"/>
      <w:lvlText w:val="•"/>
      <w:rPr>
        <w:color w:val="3370ff"/>
      </w:rPr>
    </w:lvl>
  </w:abstractNum>
  <w:abstractNum w:abstractNumId="261080">
    <w:lvl>
      <w:numFmt w:val="bullet"/>
      <w:suff w:val="tab"/>
      <w:lvlText w:val="•"/>
      <w:rPr>
        <w:color w:val="3370ff"/>
      </w:rPr>
    </w:lvl>
  </w:abstractNum>
  <w:abstractNum w:abstractNumId="261081">
    <w:lvl>
      <w:numFmt w:val="bullet"/>
      <w:suff w:val="tab"/>
      <w:lvlText w:val="•"/>
      <w:rPr>
        <w:color w:val="3370ff"/>
      </w:rPr>
    </w:lvl>
  </w:abstractNum>
  <w:abstractNum w:abstractNumId="261082">
    <w:lvl>
      <w:numFmt w:val="bullet"/>
      <w:suff w:val="tab"/>
      <w:lvlText w:val="•"/>
      <w:rPr>
        <w:color w:val="3370ff"/>
      </w:rPr>
    </w:lvl>
  </w:abstractNum>
  <w:abstractNum w:abstractNumId="261083">
    <w:lvl>
      <w:numFmt w:val="bullet"/>
      <w:suff w:val="tab"/>
      <w:lvlText w:val="•"/>
      <w:rPr>
        <w:color w:val="3370ff"/>
      </w:rPr>
    </w:lvl>
  </w:abstractNum>
  <w:abstractNum w:abstractNumId="261084">
    <w:lvl>
      <w:numFmt w:val="bullet"/>
      <w:suff w:val="tab"/>
      <w:lvlText w:val="•"/>
      <w:rPr>
        <w:color w:val="3370ff"/>
      </w:rPr>
    </w:lvl>
  </w:abstractNum>
  <w:abstractNum w:abstractNumId="261085">
    <w:lvl>
      <w:numFmt w:val="bullet"/>
      <w:suff w:val="tab"/>
      <w:lvlText w:val="•"/>
      <w:rPr>
        <w:color w:val="3370ff"/>
      </w:rPr>
    </w:lvl>
  </w:abstractNum>
  <w:abstractNum w:abstractNumId="261086">
    <w:lvl>
      <w:numFmt w:val="bullet"/>
      <w:suff w:val="tab"/>
      <w:lvlText w:val="•"/>
      <w:rPr>
        <w:color w:val="3370ff"/>
      </w:rPr>
    </w:lvl>
  </w:abstractNum>
  <w:abstractNum w:abstractNumId="261087">
    <w:lvl>
      <w:numFmt w:val="bullet"/>
      <w:suff w:val="tab"/>
      <w:lvlText w:val="•"/>
      <w:rPr>
        <w:color w:val="3370ff"/>
      </w:rPr>
    </w:lvl>
  </w:abstractNum>
  <w:abstractNum w:abstractNumId="261088">
    <w:lvl>
      <w:numFmt w:val="bullet"/>
      <w:suff w:val="tab"/>
      <w:lvlText w:val="•"/>
      <w:rPr>
        <w:color w:val="3370ff"/>
      </w:rPr>
    </w:lvl>
  </w:abstractNum>
  <w:abstractNum w:abstractNumId="261089">
    <w:lvl>
      <w:numFmt w:val="bullet"/>
      <w:suff w:val="tab"/>
      <w:lvlText w:val="•"/>
      <w:rPr>
        <w:color w:val="3370ff"/>
      </w:rPr>
    </w:lvl>
  </w:abstractNum>
  <w:abstractNum w:abstractNumId="261090">
    <w:lvl>
      <w:numFmt w:val="bullet"/>
      <w:suff w:val="tab"/>
      <w:lvlText w:val="•"/>
      <w:rPr>
        <w:color w:val="3370ff"/>
      </w:rPr>
    </w:lvl>
  </w:abstractNum>
  <w:abstractNum w:abstractNumId="261091">
    <w:lvl>
      <w:numFmt w:val="bullet"/>
      <w:suff w:val="tab"/>
      <w:lvlText w:val="•"/>
      <w:rPr>
        <w:color w:val="3370ff"/>
      </w:rPr>
    </w:lvl>
  </w:abstractNum>
  <w:abstractNum w:abstractNumId="261092">
    <w:lvl>
      <w:numFmt w:val="bullet"/>
      <w:suff w:val="tab"/>
      <w:lvlText w:val="•"/>
      <w:rPr>
        <w:color w:val="3370ff"/>
      </w:rPr>
    </w:lvl>
  </w:abstractNum>
  <w:abstractNum w:abstractNumId="261093">
    <w:lvl>
      <w:numFmt w:val="bullet"/>
      <w:suff w:val="tab"/>
      <w:lvlText w:val="•"/>
      <w:rPr>
        <w:color w:val="3370ff"/>
      </w:rPr>
    </w:lvl>
  </w:abstractNum>
  <w:abstractNum w:abstractNumId="261094">
    <w:lvl>
      <w:numFmt w:val="bullet"/>
      <w:suff w:val="tab"/>
      <w:lvlText w:val="•"/>
      <w:rPr>
        <w:color w:val="3370ff"/>
      </w:rPr>
    </w:lvl>
  </w:abstractNum>
  <w:abstractNum w:abstractNumId="261095">
    <w:lvl>
      <w:numFmt w:val="bullet"/>
      <w:suff w:val="tab"/>
      <w:lvlText w:val="•"/>
      <w:rPr>
        <w:color w:val="3370ff"/>
      </w:rPr>
    </w:lvl>
  </w:abstractNum>
  <w:abstractNum w:abstractNumId="261096">
    <w:lvl>
      <w:numFmt w:val="bullet"/>
      <w:suff w:val="tab"/>
      <w:lvlText w:val="•"/>
      <w:rPr>
        <w:color w:val="3370ff"/>
      </w:rPr>
    </w:lvl>
  </w:abstractNum>
  <w:abstractNum w:abstractNumId="261097">
    <w:lvl>
      <w:numFmt w:val="bullet"/>
      <w:suff w:val="tab"/>
      <w:lvlText w:val="•"/>
      <w:rPr>
        <w:color w:val="3370ff"/>
      </w:rPr>
    </w:lvl>
  </w:abstractNum>
  <w:abstractNum w:abstractNumId="261098">
    <w:lvl>
      <w:numFmt w:val="bullet"/>
      <w:suff w:val="tab"/>
      <w:lvlText w:val="•"/>
      <w:rPr>
        <w:color w:val="3370ff"/>
      </w:rPr>
    </w:lvl>
  </w:abstractNum>
  <w:abstractNum w:abstractNumId="261099">
    <w:lvl>
      <w:numFmt w:val="bullet"/>
      <w:suff w:val="tab"/>
      <w:lvlText w:val="•"/>
      <w:rPr>
        <w:color w:val="3370ff"/>
      </w:rPr>
    </w:lvl>
  </w:abstractNum>
  <w:abstractNum w:abstractNumId="261100">
    <w:lvl>
      <w:numFmt w:val="bullet"/>
      <w:suff w:val="tab"/>
      <w:lvlText w:val="•"/>
      <w:rPr>
        <w:color w:val="3370ff"/>
      </w:rPr>
    </w:lvl>
  </w:abstractNum>
  <w:abstractNum w:abstractNumId="261101">
    <w:lvl>
      <w:numFmt w:val="bullet"/>
      <w:suff w:val="tab"/>
      <w:lvlText w:val="•"/>
      <w:rPr>
        <w:color w:val="3370ff"/>
      </w:rPr>
    </w:lvl>
  </w:abstractNum>
  <w:abstractNum w:abstractNumId="261102">
    <w:lvl>
      <w:numFmt w:val="bullet"/>
      <w:suff w:val="tab"/>
      <w:lvlText w:val="•"/>
      <w:rPr>
        <w:color w:val="3370ff"/>
      </w:rPr>
    </w:lvl>
  </w:abstractNum>
  <w:abstractNum w:abstractNumId="261103">
    <w:lvl>
      <w:numFmt w:val="bullet"/>
      <w:suff w:val="tab"/>
      <w:lvlText w:val="•"/>
      <w:rPr>
        <w:color w:val="3370ff"/>
      </w:rPr>
    </w:lvl>
  </w:abstractNum>
  <w:abstractNum w:abstractNumId="261104">
    <w:lvl>
      <w:numFmt w:val="bullet"/>
      <w:suff w:val="tab"/>
      <w:lvlText w:val="•"/>
      <w:rPr>
        <w:color w:val="3370ff"/>
      </w:rPr>
    </w:lvl>
  </w:abstractNum>
  <w:abstractNum w:abstractNumId="261105">
    <w:lvl>
      <w:numFmt w:val="bullet"/>
      <w:suff w:val="tab"/>
      <w:lvlText w:val="•"/>
      <w:rPr>
        <w:color w:val="3370ff"/>
      </w:rPr>
    </w:lvl>
  </w:abstractNum>
  <w:abstractNum w:abstractNumId="261106">
    <w:lvl>
      <w:numFmt w:val="bullet"/>
      <w:suff w:val="tab"/>
      <w:lvlText w:val="•"/>
      <w:rPr>
        <w:color w:val="3370ff"/>
      </w:rPr>
    </w:lvl>
  </w:abstractNum>
  <w:abstractNum w:abstractNumId="261107">
    <w:lvl>
      <w:numFmt w:val="bullet"/>
      <w:suff w:val="tab"/>
      <w:lvlText w:val="•"/>
      <w:rPr>
        <w:color w:val="3370ff"/>
      </w:rPr>
    </w:lvl>
  </w:abstractNum>
  <w:abstractNum w:abstractNumId="261108">
    <w:lvl>
      <w:numFmt w:val="bullet"/>
      <w:suff w:val="tab"/>
      <w:lvlText w:val="•"/>
      <w:rPr>
        <w:color w:val="3370ff"/>
      </w:rPr>
    </w:lvl>
  </w:abstractNum>
  <w:abstractNum w:abstractNumId="261109">
    <w:lvl>
      <w:numFmt w:val="bullet"/>
      <w:suff w:val="tab"/>
      <w:lvlText w:val="•"/>
      <w:rPr>
        <w:color w:val="3370ff"/>
      </w:rPr>
    </w:lvl>
  </w:abstractNum>
  <w:abstractNum w:abstractNumId="261110">
    <w:lvl>
      <w:numFmt w:val="bullet"/>
      <w:suff w:val="tab"/>
      <w:lvlText w:val="•"/>
      <w:rPr>
        <w:color w:val="3370ff"/>
      </w:rPr>
    </w:lvl>
  </w:abstractNum>
  <w:abstractNum w:abstractNumId="261111">
    <w:lvl>
      <w:numFmt w:val="bullet"/>
      <w:suff w:val="tab"/>
      <w:lvlText w:val="•"/>
      <w:rPr>
        <w:color w:val="3370ff"/>
      </w:rPr>
    </w:lvl>
  </w:abstractNum>
  <w:abstractNum w:abstractNumId="261112">
    <w:lvl>
      <w:numFmt w:val="bullet"/>
      <w:suff w:val="tab"/>
      <w:lvlText w:val="•"/>
      <w:rPr>
        <w:color w:val="3370ff"/>
      </w:rPr>
    </w:lvl>
  </w:abstractNum>
  <w:abstractNum w:abstractNumId="261113">
    <w:lvl>
      <w:numFmt w:val="bullet"/>
      <w:suff w:val="tab"/>
      <w:lvlText w:val="•"/>
      <w:rPr>
        <w:color w:val="3370ff"/>
      </w:rPr>
    </w:lvl>
  </w:abstractNum>
  <w:abstractNum w:abstractNumId="261114">
    <w:lvl>
      <w:numFmt w:val="bullet"/>
      <w:suff w:val="tab"/>
      <w:lvlText w:val="•"/>
      <w:rPr>
        <w:color w:val="3370ff"/>
      </w:rPr>
    </w:lvl>
  </w:abstractNum>
  <w:abstractNum w:abstractNumId="261115">
    <w:lvl>
      <w:numFmt w:val="bullet"/>
      <w:suff w:val="tab"/>
      <w:lvlText w:val="•"/>
      <w:rPr>
        <w:color w:val="3370ff"/>
      </w:rPr>
    </w:lvl>
  </w:abstractNum>
  <w:abstractNum w:abstractNumId="261116">
    <w:lvl>
      <w:numFmt w:val="bullet"/>
      <w:suff w:val="tab"/>
      <w:lvlText w:val="•"/>
      <w:rPr>
        <w:color w:val="3370ff"/>
      </w:rPr>
    </w:lvl>
  </w:abstractNum>
  <w:abstractNum w:abstractNumId="261117">
    <w:lvl>
      <w:numFmt w:val="bullet"/>
      <w:suff w:val="tab"/>
      <w:lvlText w:val="•"/>
      <w:rPr>
        <w:color w:val="3370ff"/>
      </w:rPr>
    </w:lvl>
  </w:abstractNum>
  <w:abstractNum w:abstractNumId="261118">
    <w:lvl>
      <w:numFmt w:val="bullet"/>
      <w:suff w:val="tab"/>
      <w:lvlText w:val="•"/>
      <w:rPr>
        <w:color w:val="3370ff"/>
      </w:rPr>
    </w:lvl>
  </w:abstractNum>
  <w:abstractNum w:abstractNumId="261119">
    <w:lvl>
      <w:numFmt w:val="bullet"/>
      <w:suff w:val="tab"/>
      <w:lvlText w:val="•"/>
      <w:rPr>
        <w:color w:val="3370ff"/>
      </w:rPr>
    </w:lvl>
  </w:abstractNum>
  <w:abstractNum w:abstractNumId="261120">
    <w:lvl>
      <w:numFmt w:val="bullet"/>
      <w:suff w:val="tab"/>
      <w:lvlText w:val="•"/>
      <w:rPr>
        <w:color w:val="3370ff"/>
      </w:rPr>
    </w:lvl>
  </w:abstractNum>
  <w:abstractNum w:abstractNumId="261121">
    <w:lvl>
      <w:numFmt w:val="bullet"/>
      <w:suff w:val="tab"/>
      <w:lvlText w:val="•"/>
      <w:rPr>
        <w:color w:val="3370ff"/>
      </w:rPr>
    </w:lvl>
  </w:abstractNum>
  <w:abstractNum w:abstractNumId="261122">
    <w:lvl>
      <w:numFmt w:val="bullet"/>
      <w:suff w:val="tab"/>
      <w:lvlText w:val="•"/>
      <w:rPr>
        <w:color w:val="3370ff"/>
      </w:rPr>
    </w:lvl>
  </w:abstractNum>
  <w:abstractNum w:abstractNumId="261123">
    <w:lvl>
      <w:numFmt w:val="bullet"/>
      <w:suff w:val="tab"/>
      <w:lvlText w:val="•"/>
      <w:rPr>
        <w:color w:val="3370ff"/>
      </w:rPr>
    </w:lvl>
  </w:abstractNum>
  <w:abstractNum w:abstractNumId="261124">
    <w:lvl>
      <w:numFmt w:val="bullet"/>
      <w:suff w:val="tab"/>
      <w:lvlText w:val="•"/>
      <w:rPr>
        <w:color w:val="3370ff"/>
      </w:rPr>
    </w:lvl>
  </w:abstractNum>
  <w:abstractNum w:abstractNumId="261125">
    <w:lvl>
      <w:numFmt w:val="bullet"/>
      <w:suff w:val="tab"/>
      <w:lvlText w:val="•"/>
      <w:rPr>
        <w:color w:val="3370ff"/>
      </w:rPr>
    </w:lvl>
  </w:abstractNum>
  <w:abstractNum w:abstractNumId="261126">
    <w:lvl>
      <w:numFmt w:val="bullet"/>
      <w:suff w:val="tab"/>
      <w:lvlText w:val="•"/>
      <w:rPr>
        <w:color w:val="3370ff"/>
      </w:rPr>
    </w:lvl>
  </w:abstractNum>
  <w:abstractNum w:abstractNumId="261127">
    <w:lvl>
      <w:numFmt w:val="bullet"/>
      <w:suff w:val="tab"/>
      <w:lvlText w:val="•"/>
      <w:rPr>
        <w:color w:val="3370ff"/>
      </w:rPr>
    </w:lvl>
  </w:abstractNum>
  <w:abstractNum w:abstractNumId="261128">
    <w:lvl>
      <w:numFmt w:val="bullet"/>
      <w:suff w:val="tab"/>
      <w:lvlText w:val="•"/>
      <w:rPr>
        <w:color w:val="3370ff"/>
      </w:rPr>
    </w:lvl>
  </w:abstractNum>
  <w:abstractNum w:abstractNumId="261129">
    <w:lvl>
      <w:numFmt w:val="bullet"/>
      <w:suff w:val="tab"/>
      <w:lvlText w:val="•"/>
      <w:rPr>
        <w:color w:val="3370ff"/>
      </w:rPr>
    </w:lvl>
  </w:abstractNum>
  <w:abstractNum w:abstractNumId="261130">
    <w:lvl>
      <w:numFmt w:val="bullet"/>
      <w:suff w:val="tab"/>
      <w:lvlText w:val="•"/>
      <w:rPr>
        <w:color w:val="3370ff"/>
      </w:rPr>
    </w:lvl>
  </w:abstractNum>
  <w:abstractNum w:abstractNumId="261131">
    <w:lvl>
      <w:numFmt w:val="bullet"/>
      <w:suff w:val="tab"/>
      <w:lvlText w:val="•"/>
      <w:rPr>
        <w:color w:val="3370ff"/>
      </w:rPr>
    </w:lvl>
  </w:abstractNum>
  <w:abstractNum w:abstractNumId="261132">
    <w:lvl>
      <w:numFmt w:val="bullet"/>
      <w:suff w:val="tab"/>
      <w:lvlText w:val="•"/>
      <w:rPr>
        <w:color w:val="3370ff"/>
      </w:rPr>
    </w:lvl>
  </w:abstractNum>
  <w:abstractNum w:abstractNumId="261133">
    <w:lvl>
      <w:numFmt w:val="bullet"/>
      <w:suff w:val="tab"/>
      <w:lvlText w:val="•"/>
      <w:rPr>
        <w:color w:val="3370ff"/>
      </w:rPr>
    </w:lvl>
  </w:abstractNum>
  <w:abstractNum w:abstractNumId="261134">
    <w:lvl>
      <w:numFmt w:val="bullet"/>
      <w:suff w:val="tab"/>
      <w:lvlText w:val="•"/>
      <w:rPr>
        <w:color w:val="3370ff"/>
      </w:rPr>
    </w:lvl>
  </w:abstractNum>
  <w:abstractNum w:abstractNumId="261135">
    <w:lvl>
      <w:numFmt w:val="bullet"/>
      <w:suff w:val="tab"/>
      <w:lvlText w:val="•"/>
      <w:rPr>
        <w:color w:val="3370ff"/>
      </w:rPr>
    </w:lvl>
  </w:abstractNum>
  <w:abstractNum w:abstractNumId="261136">
    <w:lvl>
      <w:numFmt w:val="bullet"/>
      <w:suff w:val="tab"/>
      <w:lvlText w:val="•"/>
      <w:rPr>
        <w:color w:val="3370ff"/>
      </w:rPr>
    </w:lvl>
  </w:abstractNum>
  <w:abstractNum w:abstractNumId="261137">
    <w:lvl>
      <w:numFmt w:val="bullet"/>
      <w:suff w:val="tab"/>
      <w:lvlText w:val="•"/>
      <w:rPr>
        <w:color w:val="3370ff"/>
      </w:rPr>
    </w:lvl>
  </w:abstractNum>
  <w:abstractNum w:abstractNumId="261138">
    <w:lvl>
      <w:numFmt w:val="bullet"/>
      <w:suff w:val="tab"/>
      <w:lvlText w:val="•"/>
      <w:rPr>
        <w:color w:val="3370ff"/>
      </w:rPr>
    </w:lvl>
  </w:abstractNum>
  <w:abstractNum w:abstractNumId="261139">
    <w:lvl>
      <w:numFmt w:val="bullet"/>
      <w:suff w:val="tab"/>
      <w:lvlText w:val="•"/>
      <w:rPr>
        <w:color w:val="3370ff"/>
      </w:rPr>
    </w:lvl>
  </w:abstractNum>
  <w:abstractNum w:abstractNumId="261140">
    <w:lvl>
      <w:numFmt w:val="bullet"/>
      <w:suff w:val="tab"/>
      <w:lvlText w:val="•"/>
      <w:rPr>
        <w:color w:val="3370ff"/>
      </w:rPr>
    </w:lvl>
  </w:abstractNum>
  <w:abstractNum w:abstractNumId="261141">
    <w:lvl>
      <w:numFmt w:val="bullet"/>
      <w:suff w:val="tab"/>
      <w:lvlText w:val="•"/>
      <w:rPr>
        <w:color w:val="3370ff"/>
      </w:rPr>
    </w:lvl>
  </w:abstractNum>
  <w:abstractNum w:abstractNumId="261142">
    <w:lvl>
      <w:numFmt w:val="bullet"/>
      <w:suff w:val="tab"/>
      <w:lvlText w:val="•"/>
      <w:rPr>
        <w:color w:val="3370ff"/>
      </w:rPr>
    </w:lvl>
  </w:abstractNum>
  <w:abstractNum w:abstractNumId="261143">
    <w:lvl>
      <w:numFmt w:val="bullet"/>
      <w:suff w:val="tab"/>
      <w:lvlText w:val="•"/>
      <w:rPr>
        <w:color w:val="3370ff"/>
      </w:rPr>
    </w:lvl>
  </w:abstractNum>
  <w:abstractNum w:abstractNumId="261144">
    <w:lvl>
      <w:numFmt w:val="bullet"/>
      <w:suff w:val="tab"/>
      <w:lvlText w:val="•"/>
      <w:rPr>
        <w:color w:val="3370ff"/>
      </w:rPr>
    </w:lvl>
  </w:abstractNum>
  <w:abstractNum w:abstractNumId="261145">
    <w:lvl>
      <w:numFmt w:val="bullet"/>
      <w:suff w:val="tab"/>
      <w:lvlText w:val="•"/>
      <w:rPr>
        <w:color w:val="3370ff"/>
      </w:rPr>
    </w:lvl>
  </w:abstractNum>
  <w:num w:numId="1">
    <w:abstractNumId w:val="261033"/>
  </w:num>
  <w:num w:numId="2">
    <w:abstractNumId w:val="261034"/>
  </w:num>
  <w:num w:numId="3">
    <w:abstractNumId w:val="261035"/>
  </w:num>
  <w:num w:numId="4">
    <w:abstractNumId w:val="261036"/>
  </w:num>
  <w:num w:numId="5">
    <w:abstractNumId w:val="261037"/>
  </w:num>
  <w:num w:numId="6">
    <w:abstractNumId w:val="261038"/>
  </w:num>
  <w:num w:numId="7">
    <w:abstractNumId w:val="261039"/>
  </w:num>
  <w:num w:numId="8">
    <w:abstractNumId w:val="261040"/>
  </w:num>
  <w:num w:numId="9">
    <w:abstractNumId w:val="261041"/>
  </w:num>
  <w:num w:numId="10">
    <w:abstractNumId w:val="261042"/>
  </w:num>
  <w:num w:numId="11">
    <w:abstractNumId w:val="261043"/>
  </w:num>
  <w:num w:numId="12">
    <w:abstractNumId w:val="261044"/>
  </w:num>
  <w:num w:numId="13">
    <w:abstractNumId w:val="261045"/>
  </w:num>
  <w:num w:numId="14">
    <w:abstractNumId w:val="261046"/>
  </w:num>
  <w:num w:numId="15">
    <w:abstractNumId w:val="261047"/>
  </w:num>
  <w:num w:numId="16">
    <w:abstractNumId w:val="261048"/>
  </w:num>
  <w:num w:numId="17">
    <w:abstractNumId w:val="261049"/>
  </w:num>
  <w:num w:numId="18">
    <w:abstractNumId w:val="261050"/>
  </w:num>
  <w:num w:numId="19">
    <w:abstractNumId w:val="261051"/>
  </w:num>
  <w:num w:numId="20">
    <w:abstractNumId w:val="261052"/>
  </w:num>
  <w:num w:numId="21">
    <w:abstractNumId w:val="261053"/>
  </w:num>
  <w:num w:numId="22">
    <w:abstractNumId w:val="261054"/>
  </w:num>
  <w:num w:numId="23">
    <w:abstractNumId w:val="261055"/>
  </w:num>
  <w:num w:numId="24">
    <w:abstractNumId w:val="261056"/>
  </w:num>
  <w:num w:numId="25">
    <w:abstractNumId w:val="261057"/>
  </w:num>
  <w:num w:numId="26">
    <w:abstractNumId w:val="261058"/>
  </w:num>
  <w:num w:numId="27">
    <w:abstractNumId w:val="261059"/>
  </w:num>
  <w:num w:numId="28">
    <w:abstractNumId w:val="261060"/>
  </w:num>
  <w:num w:numId="29">
    <w:abstractNumId w:val="261061"/>
  </w:num>
  <w:num w:numId="30">
    <w:abstractNumId w:val="261062"/>
  </w:num>
  <w:num w:numId="31">
    <w:abstractNumId w:val="261063"/>
  </w:num>
  <w:num w:numId="32">
    <w:abstractNumId w:val="261064"/>
  </w:num>
  <w:num w:numId="33">
    <w:abstractNumId w:val="261065"/>
  </w:num>
  <w:num w:numId="34">
    <w:abstractNumId w:val="261066"/>
  </w:num>
  <w:num w:numId="35">
    <w:abstractNumId w:val="261067"/>
  </w:num>
  <w:num w:numId="36">
    <w:abstractNumId w:val="261068"/>
  </w:num>
  <w:num w:numId="37">
    <w:abstractNumId w:val="261069"/>
  </w:num>
  <w:num w:numId="38">
    <w:abstractNumId w:val="261070"/>
  </w:num>
  <w:num w:numId="39">
    <w:abstractNumId w:val="261071"/>
  </w:num>
  <w:num w:numId="40">
    <w:abstractNumId w:val="261072"/>
  </w:num>
  <w:num w:numId="41">
    <w:abstractNumId w:val="261073"/>
  </w:num>
  <w:num w:numId="42">
    <w:abstractNumId w:val="261074"/>
  </w:num>
  <w:num w:numId="43">
    <w:abstractNumId w:val="261075"/>
  </w:num>
  <w:num w:numId="44">
    <w:abstractNumId w:val="261076"/>
  </w:num>
  <w:num w:numId="45">
    <w:abstractNumId w:val="261077"/>
  </w:num>
  <w:num w:numId="46">
    <w:abstractNumId w:val="261078"/>
  </w:num>
  <w:num w:numId="47">
    <w:abstractNumId w:val="261079"/>
  </w:num>
  <w:num w:numId="48">
    <w:abstractNumId w:val="261080"/>
  </w:num>
  <w:num w:numId="49">
    <w:abstractNumId w:val="261081"/>
  </w:num>
  <w:num w:numId="50">
    <w:abstractNumId w:val="261082"/>
  </w:num>
  <w:num w:numId="51">
    <w:abstractNumId w:val="261083"/>
  </w:num>
  <w:num w:numId="52">
    <w:abstractNumId w:val="261084"/>
  </w:num>
  <w:num w:numId="53">
    <w:abstractNumId w:val="261085"/>
  </w:num>
  <w:num w:numId="54">
    <w:abstractNumId w:val="261086"/>
  </w:num>
  <w:num w:numId="55">
    <w:abstractNumId w:val="261087"/>
  </w:num>
  <w:num w:numId="56">
    <w:abstractNumId w:val="261088"/>
  </w:num>
  <w:num w:numId="57">
    <w:abstractNumId w:val="261089"/>
  </w:num>
  <w:num w:numId="58">
    <w:abstractNumId w:val="261090"/>
  </w:num>
  <w:num w:numId="59">
    <w:abstractNumId w:val="261091"/>
  </w:num>
  <w:num w:numId="60">
    <w:abstractNumId w:val="261092"/>
  </w:num>
  <w:num w:numId="61">
    <w:abstractNumId w:val="261093"/>
  </w:num>
  <w:num w:numId="62">
    <w:abstractNumId w:val="261094"/>
  </w:num>
  <w:num w:numId="63">
    <w:abstractNumId w:val="261095"/>
  </w:num>
  <w:num w:numId="64">
    <w:abstractNumId w:val="261096"/>
  </w:num>
  <w:num w:numId="65">
    <w:abstractNumId w:val="261097"/>
  </w:num>
  <w:num w:numId="66">
    <w:abstractNumId w:val="261098"/>
  </w:num>
  <w:num w:numId="67">
    <w:abstractNumId w:val="261099"/>
  </w:num>
  <w:num w:numId="68">
    <w:abstractNumId w:val="261100"/>
  </w:num>
  <w:num w:numId="69">
    <w:abstractNumId w:val="261101"/>
  </w:num>
  <w:num w:numId="70">
    <w:abstractNumId w:val="261102"/>
  </w:num>
  <w:num w:numId="71">
    <w:abstractNumId w:val="261103"/>
  </w:num>
  <w:num w:numId="72">
    <w:abstractNumId w:val="261104"/>
  </w:num>
  <w:num w:numId="73">
    <w:abstractNumId w:val="261105"/>
  </w:num>
  <w:num w:numId="74">
    <w:abstractNumId w:val="261106"/>
  </w:num>
  <w:num w:numId="75">
    <w:abstractNumId w:val="261107"/>
  </w:num>
  <w:num w:numId="76">
    <w:abstractNumId w:val="261108"/>
  </w:num>
  <w:num w:numId="77">
    <w:abstractNumId w:val="261109"/>
  </w:num>
  <w:num w:numId="78">
    <w:abstractNumId w:val="261110"/>
  </w:num>
  <w:num w:numId="79">
    <w:abstractNumId w:val="261111"/>
  </w:num>
  <w:num w:numId="80">
    <w:abstractNumId w:val="261112"/>
  </w:num>
  <w:num w:numId="81">
    <w:abstractNumId w:val="261113"/>
  </w:num>
  <w:num w:numId="82">
    <w:abstractNumId w:val="261114"/>
  </w:num>
  <w:num w:numId="83">
    <w:abstractNumId w:val="261115"/>
  </w:num>
  <w:num w:numId="84">
    <w:abstractNumId w:val="261116"/>
  </w:num>
  <w:num w:numId="85">
    <w:abstractNumId w:val="261117"/>
  </w:num>
  <w:num w:numId="86">
    <w:abstractNumId w:val="261118"/>
  </w:num>
  <w:num w:numId="87">
    <w:abstractNumId w:val="261119"/>
  </w:num>
  <w:num w:numId="88">
    <w:abstractNumId w:val="261120"/>
  </w:num>
  <w:num w:numId="89">
    <w:abstractNumId w:val="261121"/>
  </w:num>
  <w:num w:numId="90">
    <w:abstractNumId w:val="261122"/>
  </w:num>
  <w:num w:numId="91">
    <w:abstractNumId w:val="261123"/>
  </w:num>
  <w:num w:numId="92">
    <w:abstractNumId w:val="261124"/>
  </w:num>
  <w:num w:numId="93">
    <w:abstractNumId w:val="261125"/>
  </w:num>
  <w:num w:numId="94">
    <w:abstractNumId w:val="261126"/>
  </w:num>
  <w:num w:numId="95">
    <w:abstractNumId w:val="261127"/>
  </w:num>
  <w:num w:numId="96">
    <w:abstractNumId w:val="261128"/>
  </w:num>
  <w:num w:numId="97">
    <w:abstractNumId w:val="261129"/>
  </w:num>
  <w:num w:numId="98">
    <w:abstractNumId w:val="261130"/>
  </w:num>
  <w:num w:numId="99">
    <w:abstractNumId w:val="261131"/>
  </w:num>
  <w:num w:numId="100">
    <w:abstractNumId w:val="261132"/>
  </w:num>
  <w:num w:numId="101">
    <w:abstractNumId w:val="261133"/>
  </w:num>
  <w:num w:numId="102">
    <w:abstractNumId w:val="261134"/>
  </w:num>
  <w:num w:numId="103">
    <w:abstractNumId w:val="261135"/>
  </w:num>
  <w:num w:numId="104">
    <w:abstractNumId w:val="261136"/>
  </w:num>
  <w:num w:numId="105">
    <w:abstractNumId w:val="261137"/>
  </w:num>
  <w:num w:numId="106">
    <w:abstractNumId w:val="261138"/>
  </w:num>
  <w:num w:numId="107">
    <w:abstractNumId w:val="261139"/>
  </w:num>
  <w:num w:numId="108">
    <w:abstractNumId w:val="261140"/>
  </w:num>
  <w:num w:numId="109">
    <w:abstractNumId w:val="261141"/>
  </w:num>
  <w:num w:numId="110">
    <w:abstractNumId w:val="261142"/>
  </w:num>
  <w:num w:numId="111">
    <w:abstractNumId w:val="261143"/>
  </w:num>
  <w:num w:numId="112">
    <w:abstractNumId w:val="261144"/>
  </w:num>
  <w:num w:numId="113">
    <w:abstractNumId w:val="2611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2026-08-07T08:33:00Z</dcterms:created>
  <dc:creator>Apache POI</dc:creator>
</cp:coreProperties>
</file>