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Scope Lock Prompt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PROMPT — Generate the Project Scope Lock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Paste this into the ChatGPT (or Claude) project for the account you are locking.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It assumes the Forensic Account Dossier and Client Narrative for this account already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exist in the project, alongside the raw sources (SOW/proposal, transcripts, WhatsApp,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questionnaire, kickoff notes). Run it once per account.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ROLE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are a senior delivery lead producing the </w:t>
      </w:r>
      <w:r>
        <w:rPr>
          <w:rFonts w:eastAsia="等线" w:ascii="Arial" w:cs="Arial" w:hAnsi="Arial"/>
          <w:b w:val="true"/>
          <w:sz w:val="22"/>
        </w:rPr>
        <w:t>Scope Lock</w:t>
      </w:r>
      <w:r>
        <w:rPr>
          <w:rFonts w:eastAsia="等线" w:ascii="Arial" w:cs="Arial" w:hAnsi="Arial"/>
          <w:sz w:val="22"/>
        </w:rPr>
        <w:t xml:space="preserve"> for this account — the single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of truth that says, requirement by requirement, exactly what we have committed to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build, what the user-facing behaviour is, and whether that commitment is </w:t>
      </w:r>
      <w:r>
        <w:rPr>
          <w:rFonts w:eastAsia="等线" w:ascii="Arial" w:cs="Arial" w:hAnsi="Arial"/>
          <w:b w:val="true"/>
          <w:sz w:val="22"/>
        </w:rPr>
        <w:t>locked</w:t>
      </w:r>
      <w:r>
        <w:rPr>
          <w:rFonts w:eastAsia="等线" w:ascii="Arial" w:cs="Arial" w:hAnsi="Arial"/>
          <w:sz w:val="22"/>
        </w:rPr>
        <w:t xml:space="preserve"> 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still needs scoping with the client</w:t>
      </w:r>
      <w:r>
        <w:rPr>
          <w:rFonts w:eastAsia="等线" w:ascii="Arial" w:cs="Arial" w:hAnsi="Arial"/>
          <w:sz w:val="22"/>
        </w:rPr>
        <w:t>. This document is what the build team builds against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 what drives the next client confirmation conversation. Getting a requirement wrongly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marked "locked" is worse than marking it "needs scoping" — a false lock detonates at UAT.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OBJECTIVE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every requirement that was committed or promised — in the SOW/proposal </w:t>
      </w:r>
      <w:r>
        <w:rPr>
          <w:rFonts w:eastAsia="等线" w:ascii="Arial" w:cs="Arial" w:hAnsi="Arial"/>
          <w:b w:val="true"/>
          <w:sz w:val="22"/>
        </w:rPr>
        <w:t>and</w:t>
      </w:r>
      <w:r>
        <w:rPr>
          <w:rFonts w:eastAsia="等线" w:ascii="Arial" w:cs="Arial" w:hAnsi="Arial"/>
          <w:sz w:val="22"/>
        </w:rPr>
        <w:t xml:space="preserve"> in any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subsequent conversation — trace its full lifecycle and resolve it to a current, grounded,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user-facing definition with a lock status. Capture what changed since the SOW, why, and 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whose authority. Surface, do not hide, every place where what the client believes they 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getting differs from what we currently intend to build.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SOURCES — mine all of them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Pull from </w:t>
      </w:r>
      <w:r>
        <w:rPr>
          <w:rFonts w:eastAsia="等线" w:ascii="Arial" w:cs="Arial" w:hAnsi="Arial"/>
          <w:b w:val="true"/>
          <w:sz w:val="22"/>
        </w:rPr>
        <w:t>every</w:t>
      </w:r>
      <w:r>
        <w:rPr>
          <w:rFonts w:eastAsia="等线" w:ascii="Arial" w:cs="Arial" w:hAnsi="Arial"/>
          <w:sz w:val="22"/>
        </w:rPr>
        <w:t xml:space="preserve"> available source in this project. Do not rely on memory or on a single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document. At minimum, ingest and cross-check: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SOW / signed proposal</w:t>
      </w:r>
      <w:r>
        <w:rPr>
          <w:rFonts w:eastAsia="等线" w:ascii="Arial" w:cs="Arial" w:hAnsi="Arial"/>
          <w:sz w:val="22"/>
        </w:rPr>
        <w:t xml:space="preserve"> — the contractual baseline of what was sold.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Forensic Account Dossier</w:t>
      </w:r>
      <w:r>
        <w:rPr>
          <w:rFonts w:eastAsia="等线" w:ascii="Arial" w:cs="Arial" w:hAnsi="Arial"/>
          <w:sz w:val="22"/>
        </w:rPr>
        <w:t xml:space="preserve"> — already source-grounded; use its timeline, decisions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log, commitment register and "understood vs scoped vs built" divergence table as primary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structured input. Do not blindly trust it — re-verify any load-bearing claim against the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raw source it cites.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Client / Customer Narrative</w:t>
      </w:r>
      <w:r>
        <w:rPr>
          <w:rFonts w:eastAsia="等线" w:ascii="Arial" w:cs="Arial" w:hAnsi="Arial"/>
          <w:sz w:val="22"/>
        </w:rPr>
        <w:t xml:space="preserve"> — for the user-facing framing and the listed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discovery gaps.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Fireflies transcripts</w:t>
      </w:r>
      <w:r>
        <w:rPr>
          <w:rFonts w:eastAsia="等线" w:ascii="Arial" w:cs="Arial" w:hAnsi="Arial"/>
          <w:sz w:val="22"/>
        </w:rPr>
        <w:t xml:space="preserve"> — query the Fireflies connector for every call tied to this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 (scope calls, kickoff, requirements gathering, follow-ups). Read them; do not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summarise from titles. These are where SOW commitments get reinterpreted.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WhatsApp / chat exports, the onboarding questionnaire, kickoff notes, and any other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project file.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source the dossier references is not actually present in the project, say so — do not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infer its contents.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Reuse the account's existing </w:t>
      </w:r>
      <w:r>
        <w:rPr>
          <w:rFonts w:eastAsia="等线" w:ascii="Arial" w:cs="Arial" w:hAnsi="Arial"/>
          <w:b w:val="true"/>
          <w:sz w:val="22"/>
        </w:rPr>
        <w:t>citation key</w:t>
      </w:r>
      <w:r>
        <w:rPr>
          <w:rFonts w:eastAsia="等线" w:ascii="Arial" w:cs="Arial" w:hAnsi="Arial"/>
          <w:sz w:val="22"/>
        </w:rPr>
        <w:t xml:space="preserve"> (e.g. </w:t>
      </w:r>
      <w:r>
        <w:rPr>
          <w:rFonts w:eastAsia="Consolas" w:ascii="Consolas" w:cs="Consolas" w:hAnsi="Consolas"/>
          <w:sz w:val="22"/>
          <w:shd w:fill="EFF0F1"/>
        </w:rPr>
        <w:t>[P | date | §x]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[SD | timecode]</w:t>
      </w:r>
      <w:r>
        <w:rPr>
          <w:rFonts w:eastAsia="等线" w:ascii="Arial" w:cs="Arial" w:hAnsi="Arial"/>
          <w:sz w:val="22"/>
        </w:rPr>
        <w:t>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[WA | date | person]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[KO | §x]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[Q | §x]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[FF | meeting | timecode]</w:t>
      </w:r>
      <w:r>
        <w:rPr>
          <w:rFonts w:eastAsia="等线" w:ascii="Arial" w:cs="Arial" w:hAnsi="Arial"/>
          <w:sz w:val="22"/>
        </w:rPr>
        <w:t>). Open the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Scope Lock with a short </w:t>
      </w:r>
      <w:r>
        <w:rPr>
          <w:rFonts w:eastAsia="等线" w:ascii="Arial" w:cs="Arial" w:hAnsi="Arial"/>
          <w:b w:val="true"/>
          <w:sz w:val="22"/>
        </w:rPr>
        <w:t>Source Manifest</w:t>
      </w:r>
      <w:r>
        <w:rPr>
          <w:rFonts w:eastAsia="等线" w:ascii="Arial" w:cs="Arial" w:hAnsi="Arial"/>
          <w:sz w:val="22"/>
        </w:rPr>
        <w:t xml:space="preserve"> listing every source ingested, its date range,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 whether it was processed in full.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GROUNDING RULES — non-negotiable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Every</w:t>
      </w:r>
      <w:r>
        <w:rPr>
          <w:rFonts w:eastAsia="等线" w:ascii="Arial" w:cs="Arial" w:hAnsi="Arial"/>
          <w:sz w:val="22"/>
        </w:rPr>
        <w:t xml:space="preserve"> statement of scope, behaviour, decision or status carries a citation. 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citation → it does not go in as fact.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hallucination.</w:t>
      </w:r>
      <w:r>
        <w:rPr>
          <w:rFonts w:eastAsia="等线" w:ascii="Arial" w:cs="Arial" w:hAnsi="Arial"/>
          <w:sz w:val="22"/>
        </w:rPr>
        <w:t xml:space="preserve"> If something is implied but not stated, label it an assumption 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flag it for confirmation. If it is unknown, write "not evidenced" — never invent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detail, a number, a date, or who said what.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Distinguish </w:t>
      </w:r>
      <w:r>
        <w:rPr>
          <w:rFonts w:eastAsia="等线" w:ascii="Arial" w:cs="Arial" w:hAnsi="Arial"/>
          <w:b w:val="true"/>
          <w:sz w:val="22"/>
        </w:rPr>
        <w:t>what was said</w:t>
      </w:r>
      <w:r>
        <w:rPr>
          <w:rFonts w:eastAsia="等线" w:ascii="Arial" w:cs="Arial" w:hAnsi="Arial"/>
          <w:sz w:val="22"/>
        </w:rPr>
        <w:t xml:space="preserve"> from </w:t>
      </w:r>
      <w:r>
        <w:rPr>
          <w:rFonts w:eastAsia="等线" w:ascii="Arial" w:cs="Arial" w:hAnsi="Arial"/>
          <w:b w:val="true"/>
          <w:sz w:val="22"/>
        </w:rPr>
        <w:t>what was agreed</w:t>
      </w:r>
      <w:r>
        <w:rPr>
          <w:rFonts w:eastAsia="等线" w:ascii="Arial" w:cs="Arial" w:hAnsi="Arial"/>
          <w:sz w:val="22"/>
        </w:rPr>
        <w:t>. A feature discussed on a call 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scope. Quote/cite the agreement, not the mention.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Distinguish </w:t>
      </w:r>
      <w:r>
        <w:rPr>
          <w:rFonts w:eastAsia="等线" w:ascii="Arial" w:cs="Arial" w:hAnsi="Arial"/>
          <w:b w:val="true"/>
          <w:sz w:val="22"/>
        </w:rPr>
        <w:t>who committed it</w:t>
      </w:r>
      <w:r>
        <w:rPr>
          <w:rFonts w:eastAsia="等线" w:ascii="Arial" w:cs="Arial" w:hAnsi="Arial"/>
          <w:sz w:val="22"/>
        </w:rPr>
        <w:t>: client-side acceptance, mutual agreement, or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vendor-internal decision. These are different lock states (see below).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sources conflict, do not silently pick one. Record the conflict, cite both, 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resolve it explicitly with the rule below.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THE CORE METHOD — trace each requirement's lifecycle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 a discrete </w:t>
      </w:r>
      <w:r>
        <w:rPr>
          <w:rFonts w:eastAsia="等线" w:ascii="Arial" w:cs="Arial" w:hAnsi="Arial"/>
          <w:b w:val="true"/>
          <w:sz w:val="22"/>
        </w:rPr>
        <w:t>scope item</w:t>
      </w:r>
      <w:r>
        <w:rPr>
          <w:rFonts w:eastAsia="等线" w:ascii="Arial" w:cs="Arial" w:hAnsi="Arial"/>
          <w:sz w:val="22"/>
        </w:rPr>
        <w:t xml:space="preserve"> for every committed/promised requirement. For each, walk 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through: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SOW baseline</w:t>
      </w:r>
      <w:r>
        <w:rPr>
          <w:rFonts w:eastAsia="等线" w:ascii="Arial" w:cs="Arial" w:hAnsi="Arial"/>
          <w:sz w:val="22"/>
        </w:rPr>
        <w:t xml:space="preserve"> — what was sold/promised, verbatim intent, cited.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Evolution</w:t>
      </w:r>
      <w:r>
        <w:rPr>
          <w:rFonts w:eastAsia="等线" w:ascii="Arial" w:cs="Arial" w:hAnsi="Arial"/>
          <w:sz w:val="22"/>
        </w:rPr>
        <w:t xml:space="preserve"> — every later conversation that clarified, narrowed, expanded,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reinterpreted, deferred or contradicted it. Cite each, with date and speaker.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Current intended definition</w:t>
      </w:r>
      <w:r>
        <w:rPr>
          <w:rFonts w:eastAsia="等线" w:ascii="Arial" w:cs="Arial" w:hAnsi="Arial"/>
          <w:sz w:val="22"/>
        </w:rPr>
        <w:t xml:space="preserve"> — the reconciled position we would build today.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 status</w:t>
      </w:r>
      <w:r>
        <w:rPr>
          <w:rFonts w:eastAsia="等线" w:ascii="Arial" w:cs="Arial" w:hAnsi="Arial"/>
          <w:sz w:val="22"/>
        </w:rPr>
        <w:t xml:space="preserve"> — using the classification below.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</w:t>
      </w:r>
      <w:r>
        <w:rPr>
          <w:rFonts w:eastAsia="等线" w:ascii="Arial" w:cs="Arial" w:hAnsi="Arial"/>
          <w:sz w:val="22"/>
        </w:rPr>
        <w:t xml:space="preserve"> — the requirement expressed as the user experiences it, not as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technical spec: *actor → trigger → steps → what the system does → output*. Plain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language.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</w:t>
      </w:r>
      <w:r>
        <w:rPr>
          <w:rFonts w:eastAsia="等线" w:ascii="Arial" w:cs="Arial" w:hAnsi="Arial"/>
          <w:sz w:val="22"/>
        </w:rPr>
        <w:t xml:space="preserve"> — how we (and the client) will know it is done. A "locked" item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without acceptance criteria is not actually locked.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 trail</w:t>
      </w:r>
      <w:r>
        <w:rPr>
          <w:rFonts w:eastAsia="等线" w:ascii="Arial" w:cs="Arial" w:hAnsi="Arial"/>
          <w:sz w:val="22"/>
        </w:rPr>
        <w:t xml:space="preserve"> — the citations underpinning the above.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Supersession handling (the most important case)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later decision changes a SOW commitment, model it explicitly and never bury it: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SOW said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X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[cite]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now intended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Y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[cite]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changed by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[who] on [date]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[cite]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rationale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[cite]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client agreed?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YES / NO / NOT EVIDENCED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[cite]</w:t>
            </w:r>
            <w:r>
              <w:rPr>
                <w:rFonts w:eastAsia="等线" w:ascii="Arial" w:cs="Arial" w:hAnsi="Arial"/>
                <w:color w:val="646a73"/>
                <w:sz w:val="22"/>
              </w:rPr>
              <w:t>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the change was a </w:t>
      </w:r>
      <w:r>
        <w:rPr>
          <w:rFonts w:eastAsia="等线" w:ascii="Arial" w:cs="Arial" w:hAnsi="Arial"/>
          <w:b w:val="true"/>
          <w:sz w:val="22"/>
        </w:rPr>
        <w:t>vendor-internal decision</w:t>
      </w:r>
      <w:r>
        <w:rPr>
          <w:rFonts w:eastAsia="等线" w:ascii="Arial" w:cs="Arial" w:hAnsi="Arial"/>
          <w:sz w:val="22"/>
        </w:rPr>
        <w:t xml:space="preserve"> and there is **no evidence the client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agreed**, the item is </w:t>
      </w:r>
      <w:r>
        <w:rPr>
          <w:rFonts w:eastAsia="等线" w:ascii="Arial" w:cs="Arial" w:hAnsi="Arial"/>
          <w:b w:val="true"/>
          <w:sz w:val="22"/>
        </w:rPr>
        <w:t>NOT locked</w:t>
      </w:r>
      <w:r>
        <w:rPr>
          <w:rFonts w:eastAsia="等线" w:ascii="Arial" w:cs="Arial" w:hAnsi="Arial"/>
          <w:sz w:val="22"/>
        </w:rPr>
        <w:t xml:space="preserve"> regardless of how sound the new approach is. It is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proposed change against a signed commitment</w:t>
      </w:r>
      <w:r>
        <w:rPr>
          <w:rFonts w:eastAsia="等线" w:ascii="Arial" w:cs="Arial" w:hAnsi="Arial"/>
          <w:sz w:val="22"/>
        </w:rPr>
        <w:t xml:space="preserve"> and goes to the client-confirmation agenda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 a live risk. Reasoning quality does not substitute for client sign-off on a contracted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*(Worked example of the pattern — adapt to this account's facts: a SOW commits a Google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Sheet output that auto-reduces raw-material inventory; a later requirements call concludes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against best practice and reframes the goal to finished-goods visibility via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backward BOM calculation, and defers it. That is a material reinterpretation of a signed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line. It is only "locked" if the client agreed to the new goal and the deferral — otherwise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is an unconfirmed change the client may still expect in original form.)*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LOCK CLASSIFICATION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 exactly one status per scope item. Be conservative — when in doubt, do not lock.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LOCKED</w:t>
      </w:r>
      <w:r>
        <w:rPr>
          <w:rFonts w:eastAsia="等线" w:ascii="Arial" w:cs="Arial" w:hAnsi="Arial"/>
          <w:sz w:val="22"/>
        </w:rPr>
        <w:t xml:space="preserve"> — grounded in source, </w:t>
      </w:r>
      <w:r>
        <w:rPr>
          <w:rFonts w:eastAsia="等线" w:ascii="Arial" w:cs="Arial" w:hAnsi="Arial"/>
          <w:b w:val="true"/>
          <w:sz w:val="22"/>
        </w:rPr>
        <w:t>mutually agreed</w:t>
      </w:r>
      <w:r>
        <w:rPr>
          <w:rFonts w:eastAsia="等线" w:ascii="Arial" w:cs="Arial" w:hAnsi="Arial"/>
          <w:sz w:val="22"/>
        </w:rPr>
        <w:t xml:space="preserve"> (client + vendor), implementation-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 enough to build, and has acceptance criteria. Build against it.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LOCKED (SUPERSEDED)</w:t>
      </w:r>
      <w:r>
        <w:rPr>
          <w:rFonts w:eastAsia="等线" w:ascii="Arial" w:cs="Arial" w:hAnsi="Arial"/>
          <w:sz w:val="22"/>
        </w:rPr>
        <w:t xml:space="preserve"> — SOW commitment changed, and the change is mutually agreed 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defined. Show both the original and the new locked definition.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AGREED IN PRINCIPLE — IMPLEMENTATION NOT LOCKED</w:t>
      </w:r>
      <w:r>
        <w:rPr>
          <w:rFonts w:eastAsia="等线" w:ascii="Arial" w:cs="Arial" w:hAnsi="Arial"/>
          <w:sz w:val="22"/>
        </w:rPr>
        <w:t xml:space="preserve"> — direction is mutually accepted but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build detail (fields, rules, integration design, timing) is undefined. State the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specific decisions still needed.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NEEDS SCOPING</w:t>
      </w:r>
      <w:r>
        <w:rPr>
          <w:rFonts w:eastAsia="等线" w:ascii="Arial" w:cs="Arial" w:hAnsi="Arial"/>
          <w:sz w:val="22"/>
        </w:rPr>
        <w:t xml:space="preserve"> — ambiguous, contradictory across sources, never resolved, or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vendor-side reinterpretation the client has not confirmed. State the exact question that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be answered and who must answer it.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 OF SCOPE</w:t>
      </w:r>
      <w:r>
        <w:rPr>
          <w:rFonts w:eastAsia="等线" w:ascii="Arial" w:cs="Arial" w:hAnsi="Arial"/>
          <w:sz w:val="22"/>
        </w:rPr>
        <w:t xml:space="preserve"> — explicitly excluded or rejected. Lock these too, with the reason 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source. (Locking exclusions prevents both scope creep and "but the SOW said…" disputes.)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the build is already underway, run a </w:t>
      </w:r>
      <w:r>
        <w:rPr>
          <w:rFonts w:eastAsia="等线" w:ascii="Arial" w:cs="Arial" w:hAnsi="Arial"/>
          <w:b w:val="true"/>
          <w:sz w:val="22"/>
        </w:rPr>
        <w:t>three-way check</w:t>
      </w:r>
      <w:r>
        <w:rPr>
          <w:rFonts w:eastAsia="等线" w:ascii="Arial" w:cs="Arial" w:hAnsi="Arial"/>
          <w:sz w:val="22"/>
        </w:rPr>
        <w:t xml:space="preserve"> per item — **SOW vs agreed vs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actually built** — and flag any item where built reality diverges from either. Treat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those as live risks, not settled scope.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OUTPUT — a single markdown document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Produce the Scope Lock in this structure. Lead with the actionable summary; detail follows.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Header</w:t>
      </w:r>
      <w:r>
        <w:rPr>
          <w:rFonts w:eastAsia="等线" w:ascii="Arial" w:cs="Arial" w:hAnsi="Arial"/>
          <w:sz w:val="22"/>
        </w:rPr>
        <w:t xml:space="preserve"> — account, "Scope Lock v1", date, build stage (pre-build / in-build / UAT).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 Manifest</w:t>
      </w:r>
      <w:r>
        <w:rPr>
          <w:rFonts w:eastAsia="等线" w:ascii="Arial" w:cs="Arial" w:hAnsi="Arial"/>
          <w:sz w:val="22"/>
        </w:rPr>
        <w:t xml:space="preserve"> — sources ingested, ranges, processed-in-full flag, citation key.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Summary (the dashboard)</w:t>
      </w:r>
      <w:r>
        <w:rPr>
          <w:rFonts w:eastAsia="等线" w:ascii="Arial" w:cs="Arial" w:hAnsi="Arial"/>
          <w:sz w:val="22"/>
        </w:rPr>
        <w:t xml:space="preserve"> —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counts by status: LOCKED / LOCKED(SUPERSEDED) / AGREED-IN-PRINCIPLE / NEEDS SCOPING /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OUT OF SCOPE;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等线" w:ascii="Arial" w:cs="Arial" w:hAnsi="Arial"/>
          <w:b w:val="true"/>
          <w:sz w:val="22"/>
        </w:rPr>
        <w:t>blocking</w:t>
      </w:r>
      <w:r>
        <w:rPr>
          <w:rFonts w:eastAsia="等线" w:ascii="Arial" w:cs="Arial" w:hAnsi="Arial"/>
          <w:sz w:val="22"/>
        </w:rPr>
        <w:t xml:space="preserve"> open items (cannot build past them);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等线" w:ascii="Arial" w:cs="Arial" w:hAnsi="Arial"/>
          <w:b w:val="true"/>
          <w:sz w:val="22"/>
        </w:rPr>
        <w:t>top items to confirm with the client</w:t>
      </w:r>
      <w:r>
        <w:rPr>
          <w:rFonts w:eastAsia="等线" w:ascii="Arial" w:cs="Arial" w:hAnsi="Arial"/>
          <w:sz w:val="22"/>
        </w:rPr>
        <w:t>, in priority order.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Locked Scope</w:t>
      </w:r>
      <w:r>
        <w:rPr>
          <w:rFonts w:eastAsia="等线" w:ascii="Arial" w:cs="Arial" w:hAnsi="Arial"/>
          <w:sz w:val="22"/>
        </w:rPr>
        <w:t xml:space="preserve"> — one entry per LOCKED / LOCKED(SUPERSEDED) item, with: ID, name,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user-facing flow, SOW origin, supersession block (if any), current locked definition,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acceptance criteria, confidence (HIGH/MED/LOW), sources.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Needs-Scoping Register</w:t>
      </w:r>
      <w:r>
        <w:rPr>
          <w:rFonts w:eastAsia="等线" w:ascii="Arial" w:cs="Arial" w:hAnsi="Arial"/>
          <w:sz w:val="22"/>
        </w:rPr>
        <w:t xml:space="preserve"> — one entry per unresolved item: what is unclear, the precise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 to resolve, who decides, blocking yes/no, sources.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Supersessions Log</w:t>
      </w:r>
      <w:r>
        <w:rPr>
          <w:rFonts w:eastAsia="等线" w:ascii="Arial" w:cs="Arial" w:hAnsi="Arial"/>
          <w:sz w:val="22"/>
        </w:rPr>
        <w:t xml:space="preserve"> — every SOW→now change in the </w:t>
      </w:r>
      <w:r>
        <w:rPr>
          <w:rFonts w:eastAsia="Consolas" w:ascii="Consolas" w:cs="Consolas" w:hAnsi="Consolas"/>
          <w:sz w:val="22"/>
          <w:shd w:fill="EFF0F1"/>
        </w:rPr>
        <w:t>SOW said → now → who/when → rationale → client agreed?</w:t>
      </w:r>
      <w:r>
        <w:rPr>
          <w:rFonts w:eastAsia="等线" w:ascii="Arial" w:cs="Arial" w:hAnsi="Arial"/>
          <w:sz w:val="22"/>
        </w:rPr>
        <w:t xml:space="preserve"> format, sorted by risk.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Out-of-Scope / Explicit Exclusions</w:t>
      </w:r>
      <w:r>
        <w:rPr>
          <w:rFonts w:eastAsia="等线" w:ascii="Arial" w:cs="Arial" w:hAnsi="Arial"/>
          <w:sz w:val="22"/>
        </w:rPr>
        <w:t xml:space="preserve"> — item, reason, source.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Source-Conflict Register</w:t>
      </w:r>
      <w:r>
        <w:rPr>
          <w:rFonts w:eastAsia="等线" w:ascii="Arial" w:cs="Arial" w:hAnsi="Arial"/>
          <w:sz w:val="22"/>
        </w:rPr>
        <w:t xml:space="preserve"> — each contradiction, both citations, and how it was resolved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(or that it is unresolved).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Confirmation Agenda</w:t>
      </w:r>
      <w:r>
        <w:rPr>
          <w:rFonts w:eastAsia="等线" w:ascii="Arial" w:cs="Arial" w:hAnsi="Arial"/>
          <w:sz w:val="22"/>
        </w:rPr>
        <w:t xml:space="preserve"> — the open questions extracted as a clean, send-ready 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account lead can take into the next client conversation. Each question phrased so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yes/no or a specific value closes it.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SELF-CHECK BEFORE YOU FINISH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Does every "LOCKED" item cite </w:t>
      </w:r>
      <w:r>
        <w:rPr>
          <w:rFonts w:eastAsia="等线" w:ascii="Arial" w:cs="Arial" w:hAnsi="Arial"/>
          <w:b w:val="true"/>
          <w:sz w:val="22"/>
        </w:rPr>
        <w:t>mutual agreement</w:t>
      </w:r>
      <w:r>
        <w:rPr>
          <w:rFonts w:eastAsia="等线" w:ascii="Arial" w:cs="Arial" w:hAnsi="Arial"/>
          <w:sz w:val="22"/>
        </w:rPr>
        <w:t>, not just a mention or an internal call?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every supersession of a signed SOW line either client-agreed (cited) or flagged as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 risk?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every claim cited? Are assumptions labelled as assumptions?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Could the client read this and be surprised by anything? If yes, that item is not locked 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move it to the confirmation agenda.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 open questions phrased so the client can actually close them?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8707">
    <w:lvl>
      <w:start w:val="1"/>
      <w:numFmt w:val="decimal"/>
      <w:suff w:val="tab"/>
      <w:lvlText w:val="%1."/>
      <w:rPr>
        <w:color w:val="3370ff"/>
      </w:rPr>
    </w:lvl>
  </w:abstractNum>
  <w:abstractNum w:abstractNumId="858708">
    <w:lvl>
      <w:start w:val="2"/>
      <w:numFmt w:val="decimal"/>
      <w:suff w:val="tab"/>
      <w:lvlText w:val="%1."/>
      <w:rPr>
        <w:color w:val="3370ff"/>
      </w:rPr>
    </w:lvl>
  </w:abstractNum>
  <w:abstractNum w:abstractNumId="858709">
    <w:lvl>
      <w:start w:val="3"/>
      <w:numFmt w:val="decimal"/>
      <w:suff w:val="tab"/>
      <w:lvlText w:val="%1."/>
      <w:rPr>
        <w:color w:val="3370ff"/>
      </w:rPr>
    </w:lvl>
  </w:abstractNum>
  <w:abstractNum w:abstractNumId="858710">
    <w:lvl>
      <w:start w:val="4"/>
      <w:numFmt w:val="decimal"/>
      <w:suff w:val="tab"/>
      <w:lvlText w:val="%1."/>
      <w:rPr>
        <w:color w:val="3370ff"/>
      </w:rPr>
    </w:lvl>
  </w:abstractNum>
  <w:abstractNum w:abstractNumId="858711">
    <w:lvl>
      <w:start w:val="5"/>
      <w:numFmt w:val="decimal"/>
      <w:suff w:val="tab"/>
      <w:lvlText w:val="%1."/>
      <w:rPr>
        <w:color w:val="3370ff"/>
      </w:rPr>
    </w:lvl>
  </w:abstractNum>
  <w:abstractNum w:abstractNumId="858712">
    <w:lvl>
      <w:numFmt w:val="bullet"/>
      <w:suff w:val="tab"/>
      <w:lvlText w:val="•"/>
      <w:rPr>
        <w:color w:val="3370ff"/>
      </w:rPr>
    </w:lvl>
  </w:abstractNum>
  <w:abstractNum w:abstractNumId="858713">
    <w:lvl>
      <w:numFmt w:val="bullet"/>
      <w:suff w:val="tab"/>
      <w:lvlText w:val="•"/>
      <w:rPr>
        <w:color w:val="3370ff"/>
      </w:rPr>
    </w:lvl>
  </w:abstractNum>
  <w:abstractNum w:abstractNumId="858714">
    <w:lvl>
      <w:numFmt w:val="bullet"/>
      <w:suff w:val="tab"/>
      <w:lvlText w:val="•"/>
      <w:rPr>
        <w:color w:val="3370ff"/>
      </w:rPr>
    </w:lvl>
  </w:abstractNum>
  <w:abstractNum w:abstractNumId="858715">
    <w:lvl>
      <w:numFmt w:val="bullet"/>
      <w:suff w:val="tab"/>
      <w:lvlText w:val="•"/>
      <w:rPr>
        <w:color w:val="3370ff"/>
      </w:rPr>
    </w:lvl>
  </w:abstractNum>
  <w:abstractNum w:abstractNumId="858716">
    <w:lvl>
      <w:numFmt w:val="bullet"/>
      <w:suff w:val="tab"/>
      <w:lvlText w:val="•"/>
      <w:rPr>
        <w:color w:val="3370ff"/>
      </w:rPr>
    </w:lvl>
  </w:abstractNum>
  <w:abstractNum w:abstractNumId="858717">
    <w:lvl>
      <w:start w:val="1"/>
      <w:numFmt w:val="decimal"/>
      <w:suff w:val="tab"/>
      <w:lvlText w:val="%1."/>
      <w:rPr>
        <w:color w:val="3370ff"/>
      </w:rPr>
    </w:lvl>
  </w:abstractNum>
  <w:abstractNum w:abstractNumId="858718">
    <w:lvl>
      <w:start w:val="2"/>
      <w:numFmt w:val="decimal"/>
      <w:suff w:val="tab"/>
      <w:lvlText w:val="%1."/>
      <w:rPr>
        <w:color w:val="3370ff"/>
      </w:rPr>
    </w:lvl>
  </w:abstractNum>
  <w:abstractNum w:abstractNumId="858719">
    <w:lvl>
      <w:start w:val="3"/>
      <w:numFmt w:val="decimal"/>
      <w:suff w:val="tab"/>
      <w:lvlText w:val="%1."/>
      <w:rPr>
        <w:color w:val="3370ff"/>
      </w:rPr>
    </w:lvl>
  </w:abstractNum>
  <w:abstractNum w:abstractNumId="858720">
    <w:lvl>
      <w:start w:val="4"/>
      <w:numFmt w:val="decimal"/>
      <w:suff w:val="tab"/>
      <w:lvlText w:val="%1."/>
      <w:rPr>
        <w:color w:val="3370ff"/>
      </w:rPr>
    </w:lvl>
  </w:abstractNum>
  <w:abstractNum w:abstractNumId="858721">
    <w:lvl>
      <w:start w:val="5"/>
      <w:numFmt w:val="decimal"/>
      <w:suff w:val="tab"/>
      <w:lvlText w:val="%1."/>
      <w:rPr>
        <w:color w:val="3370ff"/>
      </w:rPr>
    </w:lvl>
  </w:abstractNum>
  <w:abstractNum w:abstractNumId="858722">
    <w:lvl>
      <w:start w:val="6"/>
      <w:numFmt w:val="decimal"/>
      <w:suff w:val="tab"/>
      <w:lvlText w:val="%1."/>
      <w:rPr>
        <w:color w:val="3370ff"/>
      </w:rPr>
    </w:lvl>
  </w:abstractNum>
  <w:abstractNum w:abstractNumId="858723">
    <w:lvl>
      <w:start w:val="7"/>
      <w:numFmt w:val="decimal"/>
      <w:suff w:val="tab"/>
      <w:lvlText w:val="%1."/>
      <w:rPr>
        <w:color w:val="3370ff"/>
      </w:rPr>
    </w:lvl>
  </w:abstractNum>
  <w:abstractNum w:abstractNumId="858724">
    <w:lvl>
      <w:numFmt w:val="bullet"/>
      <w:suff w:val="tab"/>
      <w:lvlText w:val="•"/>
      <w:rPr>
        <w:color w:val="3370ff"/>
      </w:rPr>
    </w:lvl>
  </w:abstractNum>
  <w:abstractNum w:abstractNumId="858725">
    <w:lvl>
      <w:numFmt w:val="bullet"/>
      <w:suff w:val="tab"/>
      <w:lvlText w:val="•"/>
      <w:rPr>
        <w:color w:val="3370ff"/>
      </w:rPr>
    </w:lvl>
  </w:abstractNum>
  <w:abstractNum w:abstractNumId="858726">
    <w:lvl>
      <w:numFmt w:val="bullet"/>
      <w:suff w:val="tab"/>
      <w:lvlText w:val="•"/>
      <w:rPr>
        <w:color w:val="3370ff"/>
      </w:rPr>
    </w:lvl>
  </w:abstractNum>
  <w:abstractNum w:abstractNumId="858727">
    <w:lvl>
      <w:numFmt w:val="bullet"/>
      <w:suff w:val="tab"/>
      <w:lvlText w:val="•"/>
      <w:rPr>
        <w:color w:val="3370ff"/>
      </w:rPr>
    </w:lvl>
  </w:abstractNum>
  <w:abstractNum w:abstractNumId="858728">
    <w:lvl>
      <w:numFmt w:val="bullet"/>
      <w:suff w:val="tab"/>
      <w:lvlText w:val="•"/>
      <w:rPr>
        <w:color w:val="3370ff"/>
      </w:rPr>
    </w:lvl>
  </w:abstractNum>
  <w:abstractNum w:abstractNumId="858729">
    <w:lvl>
      <w:start w:val="1"/>
      <w:numFmt w:val="decimal"/>
      <w:suff w:val="tab"/>
      <w:lvlText w:val="%1."/>
      <w:rPr>
        <w:color w:val="3370ff"/>
      </w:rPr>
    </w:lvl>
  </w:abstractNum>
  <w:abstractNum w:abstractNumId="858730">
    <w:lvl>
      <w:start w:val="2"/>
      <w:numFmt w:val="decimal"/>
      <w:suff w:val="tab"/>
      <w:lvlText w:val="%1."/>
      <w:rPr>
        <w:color w:val="3370ff"/>
      </w:rPr>
    </w:lvl>
  </w:abstractNum>
  <w:abstractNum w:abstractNumId="858731">
    <w:lvl>
      <w:start w:val="3"/>
      <w:numFmt w:val="decimal"/>
      <w:suff w:val="tab"/>
      <w:lvlText w:val="%1."/>
      <w:rPr>
        <w:color w:val="3370ff"/>
      </w:rPr>
    </w:lvl>
  </w:abstractNum>
  <w:abstractNum w:abstractNumId="858732">
    <w:lvl>
      <w:numFmt w:val="bullet"/>
      <w:suff w:val="tab"/>
      <w:lvlText w:val="￮"/>
      <w:rPr>
        <w:color w:val="3370ff"/>
      </w:rPr>
    </w:lvl>
  </w:abstractNum>
  <w:abstractNum w:abstractNumId="858733">
    <w:lvl>
      <w:numFmt w:val="bullet"/>
      <w:suff w:val="tab"/>
      <w:lvlText w:val="￮"/>
      <w:rPr>
        <w:color w:val="3370ff"/>
      </w:rPr>
    </w:lvl>
  </w:abstractNum>
  <w:abstractNum w:abstractNumId="858734">
    <w:lvl>
      <w:numFmt w:val="bullet"/>
      <w:suff w:val="tab"/>
      <w:lvlText w:val="￮"/>
      <w:rPr>
        <w:color w:val="3370ff"/>
      </w:rPr>
    </w:lvl>
  </w:abstractNum>
  <w:abstractNum w:abstractNumId="858735">
    <w:lvl>
      <w:start w:val="4"/>
      <w:numFmt w:val="decimal"/>
      <w:suff w:val="tab"/>
      <w:lvlText w:val="%1."/>
      <w:rPr>
        <w:color w:val="3370ff"/>
      </w:rPr>
    </w:lvl>
  </w:abstractNum>
  <w:abstractNum w:abstractNumId="858736">
    <w:lvl>
      <w:start w:val="5"/>
      <w:numFmt w:val="decimal"/>
      <w:suff w:val="tab"/>
      <w:lvlText w:val="%1."/>
      <w:rPr>
        <w:color w:val="3370ff"/>
      </w:rPr>
    </w:lvl>
  </w:abstractNum>
  <w:abstractNum w:abstractNumId="858737">
    <w:lvl>
      <w:start w:val="6"/>
      <w:numFmt w:val="decimal"/>
      <w:suff w:val="tab"/>
      <w:lvlText w:val="%1."/>
      <w:rPr>
        <w:color w:val="3370ff"/>
      </w:rPr>
    </w:lvl>
  </w:abstractNum>
  <w:abstractNum w:abstractNumId="858738">
    <w:lvl>
      <w:start w:val="7"/>
      <w:numFmt w:val="decimal"/>
      <w:suff w:val="tab"/>
      <w:lvlText w:val="%1."/>
      <w:rPr>
        <w:color w:val="3370ff"/>
      </w:rPr>
    </w:lvl>
  </w:abstractNum>
  <w:abstractNum w:abstractNumId="858739">
    <w:lvl>
      <w:start w:val="8"/>
      <w:numFmt w:val="decimal"/>
      <w:suff w:val="tab"/>
      <w:lvlText w:val="%1."/>
      <w:rPr>
        <w:color w:val="3370ff"/>
      </w:rPr>
    </w:lvl>
  </w:abstractNum>
  <w:abstractNum w:abstractNumId="858740">
    <w:lvl>
      <w:start w:val="9"/>
      <w:numFmt w:val="decimal"/>
      <w:suff w:val="tab"/>
      <w:lvlText w:val="%1."/>
      <w:rPr>
        <w:color w:val="3370ff"/>
      </w:rPr>
    </w:lvl>
  </w:abstractNum>
  <w:abstractNum w:abstractNumId="858741">
    <w:lvl>
      <w:numFmt w:val="bullet"/>
      <w:suff w:val="tab"/>
      <w:lvlText w:val="•"/>
      <w:rPr>
        <w:color w:val="3370ff"/>
      </w:rPr>
    </w:lvl>
  </w:abstractNum>
  <w:abstractNum w:abstractNumId="858742">
    <w:lvl>
      <w:numFmt w:val="bullet"/>
      <w:suff w:val="tab"/>
      <w:lvlText w:val="•"/>
      <w:rPr>
        <w:color w:val="3370ff"/>
      </w:rPr>
    </w:lvl>
  </w:abstractNum>
  <w:abstractNum w:abstractNumId="858743">
    <w:lvl>
      <w:numFmt w:val="bullet"/>
      <w:suff w:val="tab"/>
      <w:lvlText w:val="•"/>
      <w:rPr>
        <w:color w:val="3370ff"/>
      </w:rPr>
    </w:lvl>
  </w:abstractNum>
  <w:abstractNum w:abstractNumId="858744">
    <w:lvl>
      <w:numFmt w:val="bullet"/>
      <w:suff w:val="tab"/>
      <w:lvlText w:val="•"/>
      <w:rPr>
        <w:color w:val="3370ff"/>
      </w:rPr>
    </w:lvl>
  </w:abstractNum>
  <w:abstractNum w:abstractNumId="858745">
    <w:lvl>
      <w:numFmt w:val="bullet"/>
      <w:suff w:val="tab"/>
      <w:lvlText w:val="•"/>
      <w:rPr>
        <w:color w:val="3370ff"/>
      </w:rPr>
    </w:lvl>
  </w:abstractNum>
  <w:num w:numId="1">
    <w:abstractNumId w:val="858707"/>
  </w:num>
  <w:num w:numId="2">
    <w:abstractNumId w:val="858708"/>
  </w:num>
  <w:num w:numId="3">
    <w:abstractNumId w:val="858709"/>
  </w:num>
  <w:num w:numId="4">
    <w:abstractNumId w:val="858710"/>
  </w:num>
  <w:num w:numId="5">
    <w:abstractNumId w:val="858711"/>
  </w:num>
  <w:num w:numId="6">
    <w:abstractNumId w:val="858712"/>
  </w:num>
  <w:num w:numId="7">
    <w:abstractNumId w:val="858713"/>
  </w:num>
  <w:num w:numId="8">
    <w:abstractNumId w:val="858714"/>
  </w:num>
  <w:num w:numId="9">
    <w:abstractNumId w:val="858715"/>
  </w:num>
  <w:num w:numId="10">
    <w:abstractNumId w:val="858716"/>
  </w:num>
  <w:num w:numId="11">
    <w:abstractNumId w:val="858717"/>
  </w:num>
  <w:num w:numId="12">
    <w:abstractNumId w:val="858718"/>
  </w:num>
  <w:num w:numId="13">
    <w:abstractNumId w:val="858719"/>
  </w:num>
  <w:num w:numId="14">
    <w:abstractNumId w:val="858720"/>
  </w:num>
  <w:num w:numId="15">
    <w:abstractNumId w:val="858721"/>
  </w:num>
  <w:num w:numId="16">
    <w:abstractNumId w:val="858722"/>
  </w:num>
  <w:num w:numId="17">
    <w:abstractNumId w:val="858723"/>
  </w:num>
  <w:num w:numId="18">
    <w:abstractNumId w:val="858724"/>
  </w:num>
  <w:num w:numId="19">
    <w:abstractNumId w:val="858725"/>
  </w:num>
  <w:num w:numId="20">
    <w:abstractNumId w:val="858726"/>
  </w:num>
  <w:num w:numId="21">
    <w:abstractNumId w:val="858727"/>
  </w:num>
  <w:num w:numId="22">
    <w:abstractNumId w:val="858728"/>
  </w:num>
  <w:num w:numId="23">
    <w:abstractNumId w:val="858729"/>
  </w:num>
  <w:num w:numId="24">
    <w:abstractNumId w:val="858730"/>
  </w:num>
  <w:num w:numId="25">
    <w:abstractNumId w:val="858731"/>
  </w:num>
  <w:num w:numId="26">
    <w:abstractNumId w:val="858732"/>
  </w:num>
  <w:num w:numId="27">
    <w:abstractNumId w:val="858733"/>
  </w:num>
  <w:num w:numId="28">
    <w:abstractNumId w:val="858734"/>
  </w:num>
  <w:num w:numId="29">
    <w:abstractNumId w:val="858735"/>
  </w:num>
  <w:num w:numId="30">
    <w:abstractNumId w:val="858736"/>
  </w:num>
  <w:num w:numId="31">
    <w:abstractNumId w:val="858737"/>
  </w:num>
  <w:num w:numId="32">
    <w:abstractNumId w:val="858738"/>
  </w:num>
  <w:num w:numId="33">
    <w:abstractNumId w:val="858739"/>
  </w:num>
  <w:num w:numId="34">
    <w:abstractNumId w:val="858740"/>
  </w:num>
  <w:num w:numId="35">
    <w:abstractNumId w:val="858741"/>
  </w:num>
  <w:num w:numId="36">
    <w:abstractNumId w:val="858742"/>
  </w:num>
  <w:num w:numId="37">
    <w:abstractNumId w:val="858743"/>
  </w:num>
  <w:num w:numId="38">
    <w:abstractNumId w:val="858744"/>
  </w:num>
  <w:num w:numId="39">
    <w:abstractNumId w:val="8587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2026-08-07T08:31:30Z</dcterms:created>
  <dc:creator>Apache POI</dc:creator>
</cp:coreProperties>
</file>