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Macro Frozen — UAT Briefing Pack</w:t>
      </w:r>
      <w:bookmarkEnd w:id="0"/>
    </w:p>
    <w:p>
      <w:pPr>
        <w:spacing w:before="120" w:after="120" w:line="288" w:lineRule="auto"/>
        <w:ind w:left="0"/>
        <w:jc w:val="left"/>
      </w:pPr>
      <w:r>
        <w:rPr>
          <w:rFonts w:eastAsia="等线" w:ascii="Arial" w:cs="Arial" w:hAnsi="Arial"/>
          <w:b w:val="true"/>
          <w:sz w:val="22"/>
        </w:rPr>
        <w:t>Evidence cut-off:</w:t>
      </w:r>
      <w:r>
        <w:rPr>
          <w:rFonts w:eastAsia="等线" w:ascii="Arial" w:cs="Arial" w:hAnsi="Arial"/>
          <w:sz w:val="22"/>
        </w:rPr>
        <w:t xml:space="preserve"> 29 July 2026</w:t>
        <w:br/>
      </w:r>
      <w:r>
        <w:rPr>
          <w:rFonts w:eastAsia="等线" w:ascii="Arial" w:cs="Arial" w:hAnsi="Arial"/>
          <w:b w:val="true"/>
          <w:sz w:val="22"/>
        </w:rPr>
        <w:t>Authority used:</w:t>
      </w:r>
      <w:r>
        <w:rPr>
          <w:rFonts w:eastAsia="等线" w:ascii="Arial" w:cs="Arial" w:hAnsi="Arial"/>
          <w:sz w:val="22"/>
        </w:rPr>
        <w:t xml:space="preserve"> Updated Scope Lock v3 and VoC v3. These supersede earlier versions. No post-29 July evidence was supplied showing that the listed P0/P1 fixes, integrations or channel dependencies have passed internal testing.</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 w:id="1"/>
      <w:r>
        <w:rPr>
          <w:rFonts w:eastAsia="等线" w:ascii="Arial" w:cs="Arial" w:hAnsi="Arial"/>
          <w:b w:val="true"/>
          <w:sz w:val="36"/>
        </w:rPr>
        <w:t>PART 1 — UAT COMMANDER BRIEF</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Client and UAT</w:t>
      </w:r>
      <w:bookmarkEnd w:id="2"/>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60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 w:id="3"/>
      <w:r>
        <w:rPr>
          <w:rFonts w:eastAsia="等线" w:ascii="Arial" w:cs="Arial" w:hAnsi="Arial"/>
          <w:b w:val="true"/>
          <w:sz w:val="32"/>
        </w:rPr>
        <w:t>What Matters Most</w:t>
      </w:r>
      <w:bookmarkEnd w:id="3"/>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 w:id="4"/>
      <w:r>
        <w:rPr>
          <w:rFonts w:eastAsia="等线" w:ascii="Arial" w:cs="Arial" w:hAnsi="Arial"/>
          <w:b w:val="true"/>
          <w:sz w:val="32"/>
        </w:rPr>
        <w:t>Non-Negotiable Acceptance Criteria</w:t>
      </w:r>
      <w:bookmarkEnd w:id="4"/>
    </w:p>
    <w:p>
      <w:pPr>
        <w:numPr>
          <w:numId w:val="1"/>
        </w:numPr>
        <w:spacing w:before="120" w:after="120" w:line="288" w:lineRule="auto"/>
        <w:ind w:left="0"/>
        <w:jc w:val="left"/>
      </w:pPr>
      <w:r>
        <w:rPr>
          <w:rFonts w:eastAsia="等线" w:ascii="Arial" w:cs="Arial" w:hAnsi="Arial"/>
          <w:sz w:val="22"/>
        </w:rPr>
        <w:t>Salesperson can forward an order, review the MAIA draft SO and submit it without crossing customer-access boundaries.</w:t>
      </w:r>
    </w:p>
    <w:p>
      <w:pPr>
        <w:numPr>
          <w:numId w:val="2"/>
        </w:numPr>
        <w:spacing w:before="120" w:after="120" w:line="288" w:lineRule="auto"/>
        <w:ind w:left="0"/>
        <w:jc w:val="left"/>
      </w:pPr>
      <w:r>
        <w:rPr>
          <w:rFonts w:eastAsia="等线" w:ascii="Arial" w:cs="Arial" w:hAnsi="Arial"/>
          <w:sz w:val="22"/>
        </w:rPr>
        <w:t>Customer/item data comes from SQL-derived records and confirmed SO/DN/Invoice records follow SQL document constraints.</w:t>
      </w:r>
    </w:p>
    <w:p>
      <w:pPr>
        <w:numPr>
          <w:numId w:val="3"/>
        </w:numPr>
        <w:spacing w:before="120" w:after="120" w:line="288" w:lineRule="auto"/>
        <w:ind w:left="0"/>
        <w:jc w:val="left"/>
      </w:pPr>
      <w:r>
        <w:rPr>
          <w:rFonts w:eastAsia="等线" w:ascii="Arial" w:cs="Arial" w:hAnsi="Arial"/>
          <w:sz w:val="22"/>
        </w:rPr>
        <w:t>Final picked quantity—not initial requested quantity—drives the downstream DN and Invoice.</w:t>
      </w:r>
    </w:p>
    <w:p>
      <w:pPr>
        <w:numPr>
          <w:numId w:val="4"/>
        </w:numPr>
        <w:spacing w:before="120" w:after="120" w:line="288" w:lineRule="auto"/>
        <w:ind w:left="0"/>
        <w:jc w:val="left"/>
      </w:pPr>
      <w:r>
        <w:rPr>
          <w:rFonts w:eastAsia="等线" w:ascii="Arial" w:cs="Arial" w:hAnsi="Arial"/>
          <w:sz w:val="22"/>
        </w:rPr>
        <w:t>Normal, below-default and below-minimum prices route through the agreed approval ladder.</w:t>
      </w:r>
    </w:p>
    <w:p>
      <w:pPr>
        <w:numPr>
          <w:numId w:val="5"/>
        </w:numPr>
        <w:spacing w:before="120" w:after="120" w:line="288" w:lineRule="auto"/>
        <w:ind w:left="0"/>
        <w:jc w:val="left"/>
      </w:pPr>
      <w:r>
        <w:rPr>
          <w:rFonts w:eastAsia="等线" w:ascii="Arial" w:cs="Arial" w:hAnsi="Arial"/>
          <w:sz w:val="22"/>
        </w:rPr>
        <w:t>Credit failure visibly identifies and reaches the correct approver; the approved override is recorded.</w:t>
      </w:r>
    </w:p>
    <w:p>
      <w:pPr>
        <w:numPr>
          <w:numId w:val="6"/>
        </w:numPr>
        <w:spacing w:before="120" w:after="120" w:line="288" w:lineRule="auto"/>
        <w:ind w:left="0"/>
        <w:jc w:val="left"/>
      </w:pPr>
      <w:r>
        <w:rPr>
          <w:rFonts w:eastAsia="等线" w:ascii="Arial" w:cs="Arial" w:hAnsi="Arial"/>
          <w:sz w:val="22"/>
        </w:rPr>
        <w:t>Submitted SO, draft DN and confirmed pick-list events notify the agreed recipients.</w:t>
      </w:r>
    </w:p>
    <w:p>
      <w:pPr>
        <w:numPr>
          <w:numId w:val="7"/>
        </w:numPr>
        <w:spacing w:before="120" w:after="120" w:line="288" w:lineRule="auto"/>
        <w:ind w:left="0"/>
        <w:jc w:val="left"/>
      </w:pPr>
      <w:r>
        <w:rPr>
          <w:rFonts w:eastAsia="等线" w:ascii="Arial" w:cs="Arial" w:hAnsi="Arial"/>
          <w:sz w:val="22"/>
        </w:rPr>
        <w:t>Critical approval and order workflows work on the client’s actual mobile devices.</w:t>
      </w:r>
    </w:p>
    <w:p>
      <w:pPr>
        <w:numPr>
          <w:numId w:val="8"/>
        </w:numPr>
        <w:spacing w:before="120" w:after="120" w:line="288" w:lineRule="auto"/>
        <w:ind w:left="0"/>
        <w:jc w:val="left"/>
      </w:pPr>
      <w:r>
        <w:rPr>
          <w:rFonts w:eastAsia="等线" w:ascii="Arial" w:cs="Arial" w:hAnsi="Arial"/>
          <w:sz w:val="22"/>
        </w:rPr>
        <w:t>Pick-list PDFs print required headers and Chinese item descriptions correctly.</w:t>
      </w:r>
    </w:p>
    <w:p>
      <w:pPr>
        <w:numPr>
          <w:numId w:val="9"/>
        </w:numPr>
        <w:spacing w:before="120" w:after="120" w:line="288" w:lineRule="auto"/>
        <w:ind w:left="0"/>
        <w:jc w:val="left"/>
      </w:pPr>
      <w:r>
        <w:rPr>
          <w:rFonts w:eastAsia="等线" w:ascii="Arial" w:cs="Arial" w:hAnsi="Arial"/>
          <w:sz w:val="22"/>
        </w:rPr>
        <w:t>No invalid financial value, quantity, stock movement or duplicate ERP document is created.</w:t>
      </w:r>
    </w:p>
    <w:p>
      <w:pPr>
        <w:pStyle w:val="2"/>
        <w:spacing w:before="320" w:after="120" w:line="288" w:lineRule="auto"/>
        <w:ind w:left="0"/>
        <w:jc w:val="left"/>
        <w:outlineLvl w:val="1"/>
      </w:pPr>
      <w:bookmarkStart w:name="heading_5" w:id="5"/>
      <w:r>
        <w:rPr>
          <w:rFonts w:eastAsia="等线" w:ascii="Arial" w:cs="Arial" w:hAnsi="Arial"/>
          <w:b w:val="true"/>
          <w:sz w:val="32"/>
        </w:rPr>
        <w:t>Top Failure Risks</w:t>
      </w:r>
      <w:bookmarkEnd w:id="5"/>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6" w:id="6"/>
      <w:r>
        <w:rPr>
          <w:rFonts w:eastAsia="等线" w:ascii="Arial" w:cs="Arial" w:hAnsi="Arial"/>
          <w:b w:val="true"/>
          <w:sz w:val="32"/>
        </w:rPr>
        <w:t>Known Gaps to Disclose Before Testing</w:t>
      </w:r>
      <w:bookmarkEnd w:id="6"/>
    </w:p>
    <w:p>
      <w:pPr>
        <w:numPr>
          <w:numId w:val="10"/>
        </w:numPr>
        <w:spacing w:before="120" w:after="120" w:line="288" w:lineRule="auto"/>
        <w:ind w:left="0"/>
        <w:jc w:val="left"/>
      </w:pPr>
      <w:r>
        <w:rPr>
          <w:rFonts w:eastAsia="等线" w:ascii="Arial" w:cs="Arial" w:hAnsi="Arial"/>
          <w:b w:val="true"/>
          <w:sz w:val="22"/>
        </w:rPr>
        <w:t>Credit enforcement:</w:t>
      </w:r>
      <w:r>
        <w:rPr>
          <w:rFonts w:eastAsia="等线" w:ascii="Arial" w:cs="Arial" w:hAnsi="Arial"/>
          <w:sz w:val="22"/>
        </w:rPr>
        <w:t xml:space="preserve"> “The escalation flow is designed, but the day-one block rule and overdue tolerance still require David’s decision. We will not demonstrate this as final until that rule is confirmed.”</w:t>
      </w:r>
    </w:p>
    <w:p>
      <w:pPr>
        <w:numPr>
          <w:numId w:val="11"/>
        </w:numPr>
        <w:spacing w:before="120" w:after="120" w:line="288" w:lineRule="auto"/>
        <w:ind w:left="0"/>
        <w:jc w:val="left"/>
      </w:pPr>
      <w:r>
        <w:rPr>
          <w:rFonts w:eastAsia="等线" w:ascii="Arial" w:cs="Arial" w:hAnsi="Arial"/>
          <w:b w:val="true"/>
          <w:sz w:val="22"/>
        </w:rPr>
        <w:t>WhatsApp channel:</w:t>
      </w:r>
      <w:r>
        <w:rPr>
          <w:rFonts w:eastAsia="等线" w:ascii="Arial" w:cs="Arial" w:hAnsi="Arial"/>
          <w:sz w:val="22"/>
        </w:rPr>
        <w:t xml:space="preserve"> “The previous UAT used Telegram. WhatsApp verification and channel-parity testing are still required.”</w:t>
      </w:r>
    </w:p>
    <w:p>
      <w:pPr>
        <w:numPr>
          <w:numId w:val="12"/>
        </w:numPr>
        <w:spacing w:before="120" w:after="120" w:line="288" w:lineRule="auto"/>
        <w:ind w:left="0"/>
        <w:jc w:val="left"/>
      </w:pPr>
      <w:r>
        <w:rPr>
          <w:rFonts w:eastAsia="等线" w:ascii="Arial" w:cs="Arial" w:hAnsi="Arial"/>
          <w:b w:val="true"/>
          <w:sz w:val="22"/>
        </w:rPr>
        <w:t>Picked breakdown:</w:t>
      </w:r>
      <w:r>
        <w:rPr>
          <w:rFonts w:eastAsia="等线" w:ascii="Arial" w:cs="Arial" w:hAnsi="Arial"/>
          <w:sz w:val="22"/>
        </w:rPr>
        <w:t xml:space="preserve"> “The proposed replacement for the Excel packing list is subject to technical feasibility and client approval of the PDF presentation. Excel remains unless both are confirmed.”</w:t>
      </w:r>
    </w:p>
    <w:p>
      <w:pPr>
        <w:numPr>
          <w:numId w:val="13"/>
        </w:numPr>
        <w:spacing w:before="120" w:after="120" w:line="288" w:lineRule="auto"/>
        <w:ind w:left="0"/>
        <w:jc w:val="left"/>
      </w:pPr>
      <w:r>
        <w:rPr>
          <w:rFonts w:eastAsia="等线" w:ascii="Arial" w:cs="Arial" w:hAnsi="Arial"/>
          <w:b w:val="true"/>
          <w:sz w:val="22"/>
        </w:rPr>
        <w:t>Credit notes:</w:t>
      </w:r>
      <w:r>
        <w:rPr>
          <w:rFonts w:eastAsia="等线" w:ascii="Arial" w:cs="Arial" w:hAnsi="Arial"/>
          <w:sz w:val="22"/>
        </w:rPr>
        <w:t xml:space="preserve"> “SCN/CCN connector testing, including the stock-reducing case, is not part of round-3 acceptance.”</w:t>
      </w:r>
    </w:p>
    <w:p>
      <w:pPr>
        <w:numPr>
          <w:numId w:val="14"/>
        </w:numPr>
        <w:spacing w:before="120" w:after="120" w:line="288" w:lineRule="auto"/>
        <w:ind w:left="0"/>
        <w:jc w:val="left"/>
      </w:pPr>
      <w:r>
        <w:rPr>
          <w:rFonts w:eastAsia="等线" w:ascii="Arial" w:cs="Arial" w:hAnsi="Arial"/>
          <w:b w:val="true"/>
          <w:sz w:val="22"/>
        </w:rPr>
        <w:t>POD:</w:t>
      </w:r>
      <w:r>
        <w:rPr>
          <w:rFonts w:eastAsia="等线" w:ascii="Arial" w:cs="Arial" w:hAnsi="Arial"/>
          <w:sz w:val="22"/>
        </w:rPr>
        <w:t xml:space="preserve"> “The Accounts-upload and driver-account approaches conflict. No POD design is final until David selects one.”</w:t>
      </w:r>
    </w:p>
    <w:p>
      <w:pPr>
        <w:numPr>
          <w:numId w:val="15"/>
        </w:numPr>
        <w:spacing w:before="120" w:after="120" w:line="288" w:lineRule="auto"/>
        <w:ind w:left="0"/>
        <w:jc w:val="left"/>
      </w:pPr>
      <w:r>
        <w:rPr>
          <w:rFonts w:eastAsia="等线" w:ascii="Arial" w:cs="Arial" w:hAnsi="Arial"/>
          <w:b w:val="true"/>
          <w:sz w:val="22"/>
        </w:rPr>
        <w:t>AR bank-statement workspace:</w:t>
      </w:r>
      <w:r>
        <w:rPr>
          <w:rFonts w:eastAsia="等线" w:ascii="Arial" w:cs="Arial" w:hAnsi="Arial"/>
          <w:sz w:val="22"/>
        </w:rPr>
        <w:t xml:space="preserve"> “The accelerated finance workspace has no approved readiness date.”</w:t>
      </w:r>
    </w:p>
    <w:p>
      <w:pPr>
        <w:pStyle w:val="2"/>
        <w:spacing w:before="320" w:after="120" w:line="288" w:lineRule="auto"/>
        <w:ind w:left="0"/>
        <w:jc w:val="left"/>
        <w:outlineLvl w:val="1"/>
      </w:pPr>
      <w:bookmarkStart w:name="heading_7" w:id="7"/>
      <w:r>
        <w:rPr>
          <w:rFonts w:eastAsia="等线" w:ascii="Arial" w:cs="Arial" w:hAnsi="Arial"/>
          <w:b w:val="true"/>
          <w:sz w:val="32"/>
        </w:rPr>
        <w:t>Do Not Promise</w:t>
      </w:r>
      <w:bookmarkEnd w:id="7"/>
    </w:p>
    <w:p>
      <w:pPr>
        <w:spacing w:before="120" w:after="120" w:line="288" w:lineRule="auto"/>
        <w:ind w:left="0"/>
        <w:jc w:val="left"/>
      </w:pPr>
      <w:r>
        <w:rPr>
          <w:rFonts w:eastAsia="等线" w:ascii="Arial" w:cs="Arial" w:hAnsi="Arial"/>
          <w:sz w:val="22"/>
        </w:rPr>
        <w:t>Do not promise:</w:t>
      </w:r>
    </w:p>
    <w:p>
      <w:pPr>
        <w:numPr>
          <w:numId w:val="16"/>
        </w:numPr>
        <w:spacing w:before="120" w:after="120" w:line="288" w:lineRule="auto"/>
        <w:ind w:left="0"/>
        <w:jc w:val="left"/>
      </w:pPr>
      <w:r>
        <w:rPr>
          <w:rFonts w:eastAsia="等线" w:ascii="Arial" w:cs="Arial" w:hAnsi="Arial"/>
          <w:sz w:val="22"/>
        </w:rPr>
        <w:t>that all P0/P1 fixes are complete merely because their target date is 5 August;</w:t>
      </w:r>
    </w:p>
    <w:p>
      <w:pPr>
        <w:numPr>
          <w:numId w:val="17"/>
        </w:numPr>
        <w:spacing w:before="120" w:after="120" w:line="288" w:lineRule="auto"/>
        <w:ind w:left="0"/>
        <w:jc w:val="left"/>
      </w:pPr>
      <w:r>
        <w:rPr>
          <w:rFonts w:eastAsia="等线" w:ascii="Arial" w:cs="Arial" w:hAnsi="Arial"/>
          <w:sz w:val="22"/>
        </w:rPr>
        <w:t>a WhatsApp go-live date before verification and channel-parity testing;</w:t>
      </w:r>
    </w:p>
    <w:p>
      <w:pPr>
        <w:numPr>
          <w:numId w:val="18"/>
        </w:numPr>
        <w:spacing w:before="120" w:after="120" w:line="288" w:lineRule="auto"/>
        <w:ind w:left="0"/>
        <w:jc w:val="left"/>
      </w:pPr>
      <w:r>
        <w:rPr>
          <w:rFonts w:eastAsia="等线" w:ascii="Arial" w:cs="Arial" w:hAnsi="Arial"/>
          <w:sz w:val="22"/>
        </w:rPr>
        <w:t>removal of the Excel packing list before AS-11 is proven and accepted;</w:t>
      </w:r>
    </w:p>
    <w:p>
      <w:pPr>
        <w:numPr>
          <w:numId w:val="19"/>
        </w:numPr>
        <w:spacing w:before="120" w:after="120" w:line="288" w:lineRule="auto"/>
        <w:ind w:left="0"/>
        <w:jc w:val="left"/>
      </w:pPr>
      <w:r>
        <w:rPr>
          <w:rFonts w:eastAsia="等线" w:ascii="Arial" w:cs="Arial" w:hAnsi="Arial"/>
          <w:sz w:val="22"/>
        </w:rPr>
        <w:t>AR, driver/POD, catalogue or notification delivery dates not formally approved;</w:t>
      </w:r>
    </w:p>
    <w:p>
      <w:pPr>
        <w:numPr>
          <w:numId w:val="20"/>
        </w:numPr>
        <w:spacing w:before="120" w:after="120" w:line="288" w:lineRule="auto"/>
        <w:ind w:left="0"/>
        <w:jc w:val="left"/>
      </w:pPr>
      <w:r>
        <w:rPr>
          <w:rFonts w:eastAsia="等线" w:ascii="Arial" w:cs="Arial" w:hAnsi="Arial"/>
          <w:sz w:val="22"/>
        </w:rPr>
        <w:t>invoice-mirrored credit-note numbering;</w:t>
      </w:r>
    </w:p>
    <w:p>
      <w:pPr>
        <w:numPr>
          <w:numId w:val="21"/>
        </w:numPr>
        <w:spacing w:before="120" w:after="120" w:line="288" w:lineRule="auto"/>
        <w:ind w:left="0"/>
        <w:jc w:val="left"/>
      </w:pPr>
      <w:r>
        <w:rPr>
          <w:rFonts w:eastAsia="等线" w:ascii="Arial" w:cs="Arial" w:hAnsi="Arial"/>
          <w:sz w:val="22"/>
        </w:rPr>
        <w:t>volume pricing, WhatsApp blasting, route planning, WMS, AP reconciliation, QR settlement or fleet telemetry;</w:t>
      </w:r>
    </w:p>
    <w:p>
      <w:pPr>
        <w:numPr>
          <w:numId w:val="22"/>
        </w:numPr>
        <w:spacing w:before="120" w:after="120" w:line="288" w:lineRule="auto"/>
        <w:ind w:left="0"/>
        <w:jc w:val="left"/>
      </w:pPr>
      <w:r>
        <w:rPr>
          <w:rFonts w:eastAsia="等线" w:ascii="Arial" w:cs="Arial" w:hAnsi="Arial"/>
          <w:sz w:val="22"/>
        </w:rPr>
        <w:t>any credit-block tolerance or override authority not decided by David.</w:t>
      </w:r>
    </w:p>
    <w:p>
      <w:pPr>
        <w:pStyle w:val="2"/>
        <w:spacing w:before="320" w:after="120" w:line="288" w:lineRule="auto"/>
        <w:ind w:left="0"/>
        <w:jc w:val="left"/>
        <w:outlineLvl w:val="1"/>
      </w:pPr>
      <w:bookmarkStart w:name="heading_8" w:id="8"/>
      <w:r>
        <w:rPr>
          <w:rFonts w:eastAsia="等线" w:ascii="Arial" w:cs="Arial" w:hAnsi="Arial"/>
          <w:b w:val="true"/>
          <w:sz w:val="32"/>
        </w:rPr>
        <w:t>Session Decision</w:t>
      </w:r>
      <w:bookmarkEnd w:id="8"/>
    </w:p>
    <w:p>
      <w:pPr>
        <w:pStyle w:val="1"/>
        <w:spacing w:before="380" w:after="140" w:line="288" w:lineRule="auto"/>
        <w:ind w:left="0"/>
        <w:jc w:val="left"/>
        <w:outlineLvl w:val="0"/>
      </w:pPr>
      <w:bookmarkStart w:name="heading_9" w:id="9"/>
      <w:r>
        <w:rPr>
          <w:rFonts w:eastAsia="等线" w:ascii="Arial" w:cs="Arial" w:hAnsi="Arial"/>
          <w:b w:val="true"/>
          <w:sz w:val="36"/>
        </w:rPr>
        <w:t>NO-GO — on the evidence currently supplied</w:t>
      </w:r>
      <w:bookmarkEnd w:id="9"/>
    </w:p>
    <w:p>
      <w:pPr>
        <w:spacing w:before="120" w:after="120" w:line="288" w:lineRule="auto"/>
        <w:ind w:left="0"/>
        <w:jc w:val="left"/>
      </w:pPr>
      <w:r>
        <w:rPr>
          <w:rFonts w:eastAsia="等线" w:ascii="Arial" w:cs="Arial" w:hAnsi="Arial"/>
          <w:sz w:val="22"/>
        </w:rPr>
        <w:t xml:space="preserve">Critical acceptance conditions remain unresolved or unproven: credit enforcement mode, notification ownership, WhatsApp verification, ERP-access readiness, mobile approvals and named sign-off authority. Reclassify to </w:t>
      </w:r>
      <w:r>
        <w:rPr>
          <w:rFonts w:eastAsia="等线" w:ascii="Arial" w:cs="Arial" w:hAnsi="Arial"/>
          <w:b w:val="true"/>
          <w:sz w:val="22"/>
        </w:rPr>
        <w:t>CONDITIONAL GO</w:t>
      </w:r>
      <w:r>
        <w:rPr>
          <w:rFonts w:eastAsia="等线" w:ascii="Arial" w:cs="Arial" w:hAnsi="Arial"/>
          <w:sz w:val="22"/>
        </w:rPr>
        <w:t xml:space="preserve"> only after the pre-UAT gates below are evidenced.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10" w:id="10"/>
      <w:r>
        <w:rPr>
          <w:rFonts w:eastAsia="等线" w:ascii="Arial" w:cs="Arial" w:hAnsi="Arial"/>
          <w:b w:val="true"/>
          <w:sz w:val="36"/>
        </w:rPr>
        <w:t>PART 2 — CLIENT UAT MISSION PACK</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PAGE 1 — CLIENT AND UAT CONTEXT</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 </w:t>
      </w:r>
      <w:r>
        <w:rPr>
          <w:rFonts w:eastAsia="等线" w:ascii="Arial" w:cs="Arial" w:hAnsi="Arial"/>
          <w:b w:val="true"/>
          <w:sz w:val="30"/>
        </w:rPr>
        <w:t>UAT Mission</w:t>
      </w:r>
      <w:bookmarkEnd w:id="12"/>
    </w:p>
    <w:p>
      <w:pPr>
        <w:spacing w:before="120" w:after="120" w:line="288" w:lineRule="auto"/>
        <w:ind w:left="0"/>
        <w:jc w:val="left"/>
      </w:pPr>
      <w:r>
        <w:rPr>
          <w:rFonts w:eastAsia="等线" w:ascii="Arial" w:cs="Arial" w:hAnsi="Arial"/>
          <w:sz w:val="22"/>
        </w:rPr>
        <w:t>Prove that Macro Frozen can process a real, imperfect customer order through its actual operating model: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WhatsApp order</w:t>
              <w:br/>
              <w:t xml:space="preserve">    ↓</w:t>
              <w:br/>
              <w:t>Salesperson interprets and reviews draft SO</w:t>
              <w:br/>
              <w:t xml:space="preserve">    ↓</w:t>
              <w:br/>
              <w:t>Price / credit controls and approvals</w:t>
              <w:br/>
              <w:t xml:space="preserve">    ↓</w:t>
              <w:br/>
              <w:t>Warehouse picks using practical paper/digital workflow</w:t>
              <w:br/>
              <w:t xml:space="preserve">    ↓</w:t>
              <w:br/>
              <w:t>Actual kg / cartons / pcs confirmed</w:t>
              <w:br/>
              <w:t xml:space="preserve">    ↓</w:t>
              <w:br/>
              <w:t>Grace reviews and requests DN / Invoice</w:t>
              <w:br/>
              <w:t xml:space="preserve">    ↓</w:t>
              <w:br/>
            </w:r>
            <w:r>
              <w:rPr>
                <w:rFonts w:eastAsia="Consolas" w:ascii="Consolas" w:cs="Consolas" w:hAnsi="Consolas"/>
                <w:sz w:val="22"/>
              </w:rPr>
              <w:t>Documents follow SQL rules and reach the correct users</w:t>
            </w:r>
          </w:p>
        </w:tc>
      </w:tr>
    </w:tbl>
    <w:p>
      <w:pPr>
        <w:spacing w:before="120" w:after="120" w:line="288" w:lineRule="auto"/>
        <w:ind w:left="0"/>
        <w:jc w:val="left"/>
      </w:pPr>
      <w:r>
        <w:rPr>
          <w:rFonts w:eastAsia="等线" w:ascii="Arial" w:cs="Arial" w:hAnsi="Arial"/>
          <w:sz w:val="22"/>
        </w:rPr>
        <w:t>The objective is not simply to show that MAIA can create an order. It is to prove that weight changes, approval exceptions, mobile users, warehouse handoffs and SQL document rules work together without silent failure.</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 </w:t>
      </w:r>
      <w:r>
        <w:rPr>
          <w:rFonts w:eastAsia="等线" w:ascii="Arial" w:cs="Arial" w:hAnsi="Arial"/>
          <w:b w:val="true"/>
          <w:sz w:val="30"/>
        </w:rPr>
        <w:t>Client Operating Profile</w:t>
      </w:r>
      <w:bookmarkEnd w:id="13"/>
    </w:p>
    <w:p>
      <w:pPr>
        <w:numPr>
          <w:numId w:val="23"/>
        </w:numPr>
        <w:spacing w:before="120" w:after="120" w:line="288" w:lineRule="auto"/>
        <w:ind w:left="0"/>
        <w:jc w:val="left"/>
      </w:pPr>
      <w:r>
        <w:rPr>
          <w:rFonts w:eastAsia="等线" w:ascii="Arial" w:cs="Arial" w:hAnsi="Arial"/>
          <w:sz w:val="22"/>
        </w:rPr>
        <w:t>Orders arrive mainly through informal WhatsApp text, forwarded messages, voice notes and occasional formal customer POs.</w:t>
      </w:r>
    </w:p>
    <w:p>
      <w:pPr>
        <w:numPr>
          <w:numId w:val="24"/>
        </w:numPr>
        <w:spacing w:before="120" w:after="120" w:line="288" w:lineRule="auto"/>
        <w:ind w:left="0"/>
        <w:jc w:val="left"/>
      </w:pPr>
      <w:r>
        <w:rPr>
          <w:rFonts w:eastAsia="等线" w:ascii="Arial" w:cs="Arial" w:hAnsi="Arial"/>
          <w:sz w:val="22"/>
        </w:rPr>
        <w:t>Items may be described using customer shorthand rather than exact SQL item names.</w:t>
      </w:r>
    </w:p>
    <w:p>
      <w:pPr>
        <w:numPr>
          <w:numId w:val="25"/>
        </w:numPr>
        <w:spacing w:before="120" w:after="120" w:line="288" w:lineRule="auto"/>
        <w:ind w:left="0"/>
        <w:jc w:val="left"/>
      </w:pPr>
      <w:r>
        <w:rPr>
          <w:rFonts w:eastAsia="等线" w:ascii="Arial" w:cs="Arial" w:hAnsi="Arial"/>
          <w:sz w:val="22"/>
        </w:rPr>
        <w:t>Frozen meat products are commonly ordered by kg, carton or pcs; actual box and piece weights vary.</w:t>
      </w:r>
    </w:p>
    <w:p>
      <w:pPr>
        <w:numPr>
          <w:numId w:val="26"/>
        </w:numPr>
        <w:spacing w:before="120" w:after="120" w:line="288" w:lineRule="auto"/>
        <w:ind w:left="0"/>
        <w:jc w:val="left"/>
      </w:pPr>
      <w:r>
        <w:rPr>
          <w:rFonts w:eastAsia="等线" w:ascii="Arial" w:cs="Arial" w:hAnsi="Arial"/>
          <w:sz w:val="22"/>
        </w:rPr>
        <w:t>Warehouse work remains heavily paper-based and is grouped by delivery area or driver.</w:t>
      </w:r>
    </w:p>
    <w:p>
      <w:pPr>
        <w:numPr>
          <w:numId w:val="27"/>
        </w:numPr>
        <w:spacing w:before="120" w:after="120" w:line="288" w:lineRule="auto"/>
        <w:ind w:left="0"/>
        <w:jc w:val="left"/>
      </w:pPr>
      <w:r>
        <w:rPr>
          <w:rFonts w:eastAsia="等线" w:ascii="Arial" w:cs="Arial" w:hAnsi="Arial"/>
          <w:sz w:val="22"/>
        </w:rPr>
        <w:t>SQL Accounting remains the customer, item and accounting master; MAIA is an operational layer.</w:t>
      </w:r>
    </w:p>
    <w:p>
      <w:pPr>
        <w:numPr>
          <w:numId w:val="28"/>
        </w:numPr>
        <w:spacing w:before="120" w:after="120" w:line="288" w:lineRule="auto"/>
        <w:ind w:left="0"/>
        <w:jc w:val="left"/>
      </w:pPr>
      <w:r>
        <w:rPr>
          <w:rFonts w:eastAsia="等线" w:ascii="Arial" w:cs="Arial" w:hAnsi="Arial"/>
          <w:sz w:val="22"/>
        </w:rPr>
        <w:t>Pricing currently relies heavily on WhatsApp images and human knowledge.</w:t>
      </w:r>
    </w:p>
    <w:p>
      <w:pPr>
        <w:numPr>
          <w:numId w:val="29"/>
        </w:numPr>
        <w:spacing w:before="120" w:after="120" w:line="288" w:lineRule="auto"/>
        <w:ind w:left="0"/>
        <w:jc w:val="left"/>
      </w:pPr>
      <w:r>
        <w:rPr>
          <w:rFonts w:eastAsia="等线" w:ascii="Arial" w:cs="Arial" w:hAnsi="Arial"/>
          <w:sz w:val="22"/>
        </w:rPr>
        <w:t>David is the operational coordinator, final price controller and final credit approver.</w:t>
      </w:r>
    </w:p>
    <w:p>
      <w:pPr>
        <w:numPr>
          <w:numId w:val="30"/>
        </w:numPr>
        <w:spacing w:before="120" w:after="120" w:line="288" w:lineRule="auto"/>
        <w:ind w:left="0"/>
        <w:jc w:val="left"/>
      </w:pPr>
      <w:r>
        <w:rPr>
          <w:rFonts w:eastAsia="等线" w:ascii="Arial" w:cs="Arial" w:hAnsi="Arial"/>
          <w:sz w:val="22"/>
        </w:rPr>
        <w:t>CJ, Queenie and other sales users are mobile-dependent; warehouse adoption remains weakly evidenced.</w:t>
      </w:r>
    </w:p>
    <w:p>
      <w:pPr>
        <w:numPr>
          <w:numId w:val="31"/>
        </w:numPr>
        <w:spacing w:before="120" w:after="120" w:line="288" w:lineRule="auto"/>
        <w:ind w:left="0"/>
        <w:jc w:val="left"/>
      </w:pPr>
      <w:r>
        <w:rPr>
          <w:rFonts w:eastAsia="等线" w:ascii="Arial" w:cs="Arial" w:hAnsi="Arial"/>
          <w:sz w:val="22"/>
        </w:rPr>
        <w:t>Users communicate using mixed English, Mandarin, Malay and Chinese item descriptions.</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 </w:t>
      </w:r>
      <w:r>
        <w:rPr>
          <w:rFonts w:eastAsia="等线" w:ascii="Arial" w:cs="Arial" w:hAnsi="Arial"/>
          <w:b w:val="true"/>
          <w:sz w:val="30"/>
        </w:rPr>
        <w:t>What Makes This Client Different</w:t>
      </w:r>
      <w:bookmarkEnd w:id="14"/>
    </w:p>
    <w:p>
      <w:pPr>
        <w:numPr>
          <w:numId w:val="32"/>
        </w:numPr>
        <w:spacing w:before="120" w:after="120" w:line="288" w:lineRule="auto"/>
        <w:ind w:left="0"/>
        <w:jc w:val="left"/>
      </w:pPr>
      <w:r>
        <w:rPr>
          <w:rFonts w:eastAsia="等线" w:ascii="Arial" w:cs="Arial" w:hAnsi="Arial"/>
          <w:sz w:val="22"/>
        </w:rPr>
        <w:t>The order is provisional until actual picking and weighing are complete.</w:t>
      </w:r>
    </w:p>
    <w:p>
      <w:pPr>
        <w:numPr>
          <w:numId w:val="33"/>
        </w:numPr>
        <w:spacing w:before="120" w:after="120" w:line="288" w:lineRule="auto"/>
        <w:ind w:left="0"/>
        <w:jc w:val="left"/>
      </w:pPr>
      <w:r>
        <w:rPr>
          <w:rFonts w:eastAsia="等线" w:ascii="Arial" w:cs="Arial" w:hAnsi="Arial"/>
          <w:sz w:val="22"/>
        </w:rPr>
        <w:t>One line may require a detailed breakdown such as individual boxes with different kg values.</w:t>
      </w:r>
    </w:p>
    <w:p>
      <w:pPr>
        <w:numPr>
          <w:numId w:val="34"/>
        </w:numPr>
        <w:spacing w:before="120" w:after="120" w:line="288" w:lineRule="auto"/>
        <w:ind w:left="0"/>
        <w:jc w:val="left"/>
      </w:pPr>
      <w:r>
        <w:rPr>
          <w:rFonts w:eastAsia="等线" w:ascii="Arial" w:cs="Arial" w:hAnsi="Arial"/>
          <w:sz w:val="22"/>
        </w:rPr>
        <w:t>The warehouse’s priority is accountability—who picked, who checked and what quantity was confirmed.</w:t>
      </w:r>
    </w:p>
    <w:p>
      <w:pPr>
        <w:numPr>
          <w:numId w:val="35"/>
        </w:numPr>
        <w:spacing w:before="120" w:after="120" w:line="288" w:lineRule="auto"/>
        <w:ind w:left="0"/>
        <w:jc w:val="left"/>
      </w:pPr>
      <w:r>
        <w:rPr>
          <w:rFonts w:eastAsia="等线" w:ascii="Arial" w:cs="Arial" w:hAnsi="Arial"/>
          <w:sz w:val="22"/>
        </w:rPr>
        <w:t>Silence is interpreted as system failure; every blocked or handed-off item must visibly move to someone.</w:t>
      </w:r>
    </w:p>
    <w:p>
      <w:pPr>
        <w:numPr>
          <w:numId w:val="36"/>
        </w:numPr>
        <w:spacing w:before="120" w:after="120" w:line="288" w:lineRule="auto"/>
        <w:ind w:left="0"/>
        <w:jc w:val="left"/>
      </w:pPr>
      <w:r>
        <w:rPr>
          <w:rFonts w:eastAsia="等线" w:ascii="Arial" w:cs="Arial" w:hAnsi="Arial"/>
          <w:sz w:val="22"/>
        </w:rPr>
        <w:t>SQL document sequencing and stock-movement timing must not be violated.</w:t>
      </w:r>
    </w:p>
    <w:p>
      <w:pPr>
        <w:numPr>
          <w:numId w:val="37"/>
        </w:numPr>
        <w:spacing w:before="120" w:after="120" w:line="288" w:lineRule="auto"/>
        <w:ind w:left="0"/>
        <w:jc w:val="left"/>
      </w:pPr>
      <w:r>
        <w:rPr>
          <w:rFonts w:eastAsia="等线" w:ascii="Arial" w:cs="Arial" w:hAnsi="Arial"/>
          <w:sz w:val="22"/>
        </w:rPr>
        <w:t>Approvers must operate from their actual phones, not a facilitator’s laptop.</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 </w:t>
      </w:r>
      <w:r>
        <w:rPr>
          <w:rFonts w:eastAsia="等线" w:ascii="Arial" w:cs="Arial" w:hAnsi="Arial"/>
          <w:b w:val="true"/>
          <w:sz w:val="30"/>
        </w:rPr>
        <w:t>Client Priority and Sensitivity Map</w:t>
      </w:r>
      <w:bookmarkEnd w:id="15"/>
    </w:p>
    <w:p>
      <w:pPr>
        <w:spacing w:before="120" w:after="120" w:line="288" w:lineRule="auto"/>
        <w:ind w:left="0"/>
      </w:pPr>
      <w:r>
        <w:object>
          <v:shape id="_x0000_i1028" style="width:414pt;height:19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5. </w:t>
      </w:r>
      <w:r>
        <w:rPr>
          <w:rFonts w:eastAsia="等线" w:ascii="Arial" w:cs="Arial" w:hAnsi="Arial"/>
          <w:b w:val="true"/>
          <w:sz w:val="30"/>
        </w:rPr>
        <w:t>Relationship and Decision Context</w:t>
      </w:r>
      <w:bookmarkEnd w:id="16"/>
    </w:p>
    <w:p>
      <w:pPr>
        <w:numPr>
          <w:numId w:val="38"/>
        </w:numPr>
        <w:spacing w:before="120" w:after="120" w:line="288" w:lineRule="auto"/>
        <w:ind w:left="0"/>
        <w:jc w:val="left"/>
      </w:pPr>
      <w:r>
        <w:rPr>
          <w:rFonts w:eastAsia="等线" w:ascii="Arial" w:cs="Arial" w:hAnsi="Arial"/>
          <w:b w:val="true"/>
          <w:sz w:val="22"/>
        </w:rPr>
        <w:t>Confidence:</w:t>
      </w:r>
      <w:r>
        <w:rPr>
          <w:rFonts w:eastAsia="等线" w:ascii="Arial" w:cs="Arial" w:hAnsi="Arial"/>
          <w:sz w:val="22"/>
        </w:rPr>
        <w:t xml:space="preserve"> Amber—progress acknowledged, but the client has already encountered live defects and missing notifications.</w:t>
      </w:r>
    </w:p>
    <w:p>
      <w:pPr>
        <w:numPr>
          <w:numId w:val="39"/>
        </w:numPr>
        <w:spacing w:before="120" w:after="120" w:line="288" w:lineRule="auto"/>
        <w:ind w:left="0"/>
        <w:jc w:val="left"/>
      </w:pPr>
      <w:r>
        <w:rPr>
          <w:rFonts w:eastAsia="等线" w:ascii="Arial" w:cs="Arial" w:hAnsi="Arial"/>
          <w:b w:val="true"/>
          <w:sz w:val="22"/>
        </w:rPr>
        <w:t>Repeated concerns:</w:t>
      </w:r>
      <w:r>
        <w:rPr>
          <w:rFonts w:eastAsia="等线" w:ascii="Arial" w:cs="Arial" w:hAnsi="Arial"/>
          <w:sz w:val="22"/>
        </w:rPr>
        <w:t xml:space="preserve"> silent blocks, paper/Excel replacement, actual-weight handling, mobile rendering, printed document quality and approval controls.</w:t>
      </w:r>
    </w:p>
    <w:p>
      <w:pPr>
        <w:numPr>
          <w:numId w:val="40"/>
        </w:numPr>
        <w:spacing w:before="120" w:after="120" w:line="288" w:lineRule="auto"/>
        <w:ind w:left="0"/>
        <w:jc w:val="left"/>
      </w:pPr>
      <w:r>
        <w:rPr>
          <w:rFonts w:eastAsia="等线" w:ascii="Arial" w:cs="Arial" w:hAnsi="Arial"/>
          <w:b w:val="true"/>
          <w:sz w:val="22"/>
        </w:rPr>
        <w:t>David:</w:t>
      </w:r>
      <w:r>
        <w:rPr>
          <w:rFonts w:eastAsia="等线" w:ascii="Arial" w:cs="Arial" w:hAnsi="Arial"/>
          <w:sz w:val="22"/>
        </w:rPr>
        <w:t xml:space="preserve"> owner, final price and credit approver, main operational decider.</w:t>
      </w:r>
    </w:p>
    <w:p>
      <w:pPr>
        <w:numPr>
          <w:numId w:val="41"/>
        </w:numPr>
        <w:spacing w:before="120" w:after="120" w:line="288" w:lineRule="auto"/>
        <w:ind w:left="0"/>
        <w:jc w:val="left"/>
      </w:pPr>
      <w:r>
        <w:rPr>
          <w:rFonts w:eastAsia="等线" w:ascii="Arial" w:cs="Arial" w:hAnsi="Arial"/>
          <w:b w:val="true"/>
          <w:sz w:val="22"/>
        </w:rPr>
        <w:t>Grace:</w:t>
      </w:r>
      <w:r>
        <w:rPr>
          <w:rFonts w:eastAsia="等线" w:ascii="Arial" w:cs="Arial" w:hAnsi="Arial"/>
          <w:sz w:val="22"/>
        </w:rPr>
        <w:t xml:space="preserve"> finance and DN/invoice handoff; receives every agreed draft-DN notification.</w:t>
      </w:r>
    </w:p>
    <w:p>
      <w:pPr>
        <w:numPr>
          <w:numId w:val="42"/>
        </w:numPr>
        <w:spacing w:before="120" w:after="120" w:line="288" w:lineRule="auto"/>
        <w:ind w:left="0"/>
        <w:jc w:val="left"/>
      </w:pPr>
      <w:r>
        <w:rPr>
          <w:rFonts w:eastAsia="等线" w:ascii="Arial" w:cs="Arial" w:hAnsi="Arial"/>
          <w:b w:val="true"/>
          <w:sz w:val="22"/>
        </w:rPr>
        <w:t>Lai:</w:t>
      </w:r>
      <w:r>
        <w:rPr>
          <w:rFonts w:eastAsia="等线" w:ascii="Arial" w:cs="Arial" w:hAnsi="Arial"/>
          <w:sz w:val="22"/>
        </w:rPr>
        <w:t xml:space="preserve"> warehouse/logistics; receives every submitted SO and operates picking.</w:t>
      </w:r>
    </w:p>
    <w:p>
      <w:pPr>
        <w:numPr>
          <w:numId w:val="43"/>
        </w:numPr>
        <w:spacing w:before="120" w:after="120" w:line="288" w:lineRule="auto"/>
        <w:ind w:left="0"/>
        <w:jc w:val="left"/>
      </w:pPr>
      <w:r>
        <w:rPr>
          <w:rFonts w:eastAsia="等线" w:ascii="Arial" w:cs="Arial" w:hAnsi="Arial"/>
          <w:b w:val="true"/>
          <w:sz w:val="22"/>
        </w:rPr>
        <w:t>CJ:</w:t>
      </w:r>
      <w:r>
        <w:rPr>
          <w:rFonts w:eastAsia="等线" w:ascii="Arial" w:cs="Arial" w:hAnsi="Arial"/>
          <w:sz w:val="22"/>
        </w:rPr>
        <w:t xml:space="preserve"> Sales Manager and intermediate pricing approver.</w:t>
      </w:r>
    </w:p>
    <w:p>
      <w:pPr>
        <w:numPr>
          <w:numId w:val="44"/>
        </w:numPr>
        <w:spacing w:before="120" w:after="120" w:line="288" w:lineRule="auto"/>
        <w:ind w:left="0"/>
        <w:jc w:val="left"/>
      </w:pPr>
      <w:r>
        <w:rPr>
          <w:rFonts w:eastAsia="等线" w:ascii="Arial" w:cs="Arial" w:hAnsi="Arial"/>
          <w:b w:val="true"/>
          <w:sz w:val="22"/>
        </w:rPr>
        <w:t>Queenie:</w:t>
      </w:r>
      <w:r>
        <w:rPr>
          <w:rFonts w:eastAsia="等线" w:ascii="Arial" w:cs="Arial" w:hAnsi="Arial"/>
          <w:sz w:val="22"/>
        </w:rPr>
        <w:t xml:space="preserve"> standard sales-user path and pcs/UOM test user.</w:t>
      </w:r>
    </w:p>
    <w:p>
      <w:pPr>
        <w:numPr>
          <w:numId w:val="45"/>
        </w:numPr>
        <w:spacing w:before="120" w:after="120" w:line="288" w:lineRule="auto"/>
        <w:ind w:left="0"/>
        <w:jc w:val="left"/>
      </w:pPr>
      <w:r>
        <w:rPr>
          <w:rFonts w:eastAsia="等线" w:ascii="Arial" w:cs="Arial" w:hAnsi="Arial"/>
          <w:b w:val="true"/>
          <w:sz w:val="22"/>
        </w:rPr>
        <w:t>Signatory:</w:t>
      </w:r>
      <w:r>
        <w:rPr>
          <w:rFonts w:eastAsia="等线" w:ascii="Arial" w:cs="Arial" w:hAnsi="Arial"/>
          <w:sz w:val="22"/>
        </w:rPr>
        <w:t xml:space="preserve"> not formally named. This must be resolved before the session.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PAGE 2 — WORKFLOW AND ACCEPTANCE BOUNDARIES</w:t>
      </w:r>
      <w:bookmarkEnd w:id="17"/>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1. </w:t>
      </w:r>
      <w:r>
        <w:rPr>
          <w:rFonts w:eastAsia="等线" w:ascii="Arial" w:cs="Arial" w:hAnsi="Arial"/>
          <w:b w:val="true"/>
          <w:sz w:val="30"/>
        </w:rPr>
        <w:t>Agreed End-to-End Workflow</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CUSTOMER</w:t>
              <w:br/>
              <w:t>Sends WhatsApp order, informal text/voice or formal PO</w:t>
              <w:br/>
              <w:t xml:space="preserve">    ↓</w:t>
              <w:br/>
              <w:t>SALESPERSON</w:t>
              <w:br/>
              <w:t>Forwards directly to MAIA; reviews customer, item, UOM, price and remarks</w:t>
              <w:br/>
              <w:t xml:space="preserve">    ↓</w:t>
              <w:br/>
              <w:t>MAIA</w:t>
              <w:br/>
              <w:t>Creates draft SO using SQL-derived customer/item data</w:t>
              <w:br/>
              <w:t xml:space="preserve">    ↓</w:t>
              <w:br/>
              <w:t>PRICE / CREDIT CONTROL</w:t>
              <w:br/>
              <w:t>Normal order proceeds</w:t>
              <w:br/>
              <w:t>Below standard but above minimum → CJ price approval</w:t>
              <w:br/>
              <w:t>Below minimum or credit exception → David approval</w:t>
              <w:br/>
              <w:t xml:space="preserve">    ↓</w:t>
              <w:br/>
              <w:t>WAREHOUSE / LAI</w:t>
              <w:br/>
              <w:t>Receives submitted SO; warehouse picks and records actual quantities</w:t>
              <w:br/>
              <w:t>Paper or agreed picking method is retained where required</w:t>
              <w:br/>
              <w:t xml:space="preserve">    ↓</w:t>
              <w:br/>
              <w:t>MAIA</w:t>
              <w:br/>
              <w:t>SO is amended to the confirmed actual quantity</w:t>
              <w:br/>
              <w:t xml:space="preserve">    ↓</w:t>
              <w:br/>
              <w:t>GRACE</w:t>
              <w:br/>
              <w:t>Receives pick/DN handoff; explicitly requests DN and Invoice</w:t>
              <w:br/>
              <w:t xml:space="preserve">    ↓</w:t>
              <w:br/>
              <w:t>ERP INTEGRATION</w:t>
              <w:br/>
              <w:t>SO/DN/Invoice follow SQL constraints and push where integration permits</w:t>
              <w:br/>
              <w:t xml:space="preserve">    ↓</w:t>
              <w:br/>
              <w:t>FINANCE</w:t>
              <w:br/>
            </w:r>
            <w:r>
              <w:rPr>
                <w:rFonts w:eastAsia="Consolas" w:ascii="Consolas" w:cs="Consolas" w:hAnsi="Consolas"/>
                <w:sz w:val="22"/>
              </w:rPr>
              <w:t>Payment matching remains human-confirmed; ambiguous matches are not auto-posted</w:t>
            </w:r>
          </w:p>
        </w:tc>
      </w:tr>
    </w:tbl>
    <w:p>
      <w:pPr>
        <w:spacing w:before="120" w:after="120" w:line="288" w:lineRule="auto"/>
        <w:ind w:left="0"/>
        <w:jc w:val="left"/>
      </w:pPr>
      <w:r>
        <w:rPr>
          <w:rFonts w:eastAsia="等线" w:ascii="Arial" w:cs="Arial" w:hAnsi="Arial"/>
          <w:b w:val="true"/>
          <w:sz w:val="22"/>
        </w:rPr>
        <w:t>Retained external/manual steps:</w:t>
      </w:r>
      <w:r>
        <w:rPr>
          <w:rFonts w:eastAsia="等线" w:ascii="Arial" w:cs="Arial" w:hAnsi="Arial"/>
          <w:sz w:val="22"/>
        </w:rPr>
        <w:t xml:space="preserve"> warehouse paper handling where required; delivery-route planning; any Excel packing-list fallback accepted by the client; QR-merchant settlement; final external bank reconciliation where applicable.</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2. </w:t>
      </w:r>
      <w:r>
        <w:rPr>
          <w:rFonts w:eastAsia="等线" w:ascii="Arial" w:cs="Arial" w:hAnsi="Arial"/>
          <w:b w:val="true"/>
          <w:sz w:val="30"/>
        </w:rPr>
        <w:t>Acceptance Boundaries</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Must Pass for Sign-Off</w:t>
      </w:r>
      <w:bookmarkEnd w:id="20"/>
    </w:p>
    <w:p>
      <w:pPr>
        <w:numPr>
          <w:numId w:val="46"/>
        </w:numPr>
        <w:spacing w:before="120" w:after="120" w:line="288" w:lineRule="auto"/>
        <w:ind w:left="0"/>
        <w:jc w:val="left"/>
      </w:pPr>
      <w:r>
        <w:rPr>
          <w:rFonts w:eastAsia="等线" w:ascii="Arial" w:cs="Arial" w:hAnsi="Arial"/>
          <w:sz w:val="22"/>
        </w:rPr>
        <w:t>Direct salesperson order entry and territory isolation.</w:t>
      </w:r>
    </w:p>
    <w:p>
      <w:pPr>
        <w:numPr>
          <w:numId w:val="47"/>
        </w:numPr>
        <w:spacing w:before="120" w:after="120" w:line="288" w:lineRule="auto"/>
        <w:ind w:left="0"/>
        <w:jc w:val="left"/>
      </w:pPr>
      <w:r>
        <w:rPr>
          <w:rFonts w:eastAsia="等线" w:ascii="Arial" w:cs="Arial" w:hAnsi="Arial"/>
          <w:sz w:val="22"/>
        </w:rPr>
        <w:t>Correct SQL customer/item mapping and document sequence.</w:t>
      </w:r>
    </w:p>
    <w:p>
      <w:pPr>
        <w:numPr>
          <w:numId w:val="48"/>
        </w:numPr>
        <w:spacing w:before="120" w:after="120" w:line="288" w:lineRule="auto"/>
        <w:ind w:left="0"/>
        <w:jc w:val="left"/>
      </w:pPr>
      <w:r>
        <w:rPr>
          <w:rFonts w:eastAsia="等线" w:ascii="Arial" w:cs="Arial" w:hAnsi="Arial"/>
          <w:sz w:val="22"/>
        </w:rPr>
        <w:t>Actual quantity amendment through DN and Invoice.</w:t>
      </w:r>
    </w:p>
    <w:p>
      <w:pPr>
        <w:numPr>
          <w:numId w:val="49"/>
        </w:numPr>
        <w:spacing w:before="120" w:after="120" w:line="288" w:lineRule="auto"/>
        <w:ind w:left="0"/>
        <w:jc w:val="left"/>
      </w:pPr>
      <w:r>
        <w:rPr>
          <w:rFonts w:eastAsia="等线" w:ascii="Arial" w:cs="Arial" w:hAnsi="Arial"/>
          <w:sz w:val="22"/>
        </w:rPr>
        <w:t>Price and credit approval chains with visible notification.</w:t>
      </w:r>
    </w:p>
    <w:p>
      <w:pPr>
        <w:numPr>
          <w:numId w:val="50"/>
        </w:numPr>
        <w:spacing w:before="120" w:after="120" w:line="288" w:lineRule="auto"/>
        <w:ind w:left="0"/>
        <w:jc w:val="left"/>
      </w:pPr>
      <w:r>
        <w:rPr>
          <w:rFonts w:eastAsia="等线" w:ascii="Arial" w:cs="Arial" w:hAnsi="Arial"/>
          <w:sz w:val="22"/>
        </w:rPr>
        <w:t>Grace/Lai event notifications and activity evidence.</w:t>
      </w:r>
    </w:p>
    <w:p>
      <w:pPr>
        <w:numPr>
          <w:numId w:val="51"/>
        </w:numPr>
        <w:spacing w:before="120" w:after="120" w:line="288" w:lineRule="auto"/>
        <w:ind w:left="0"/>
        <w:jc w:val="left"/>
      </w:pPr>
      <w:r>
        <w:rPr>
          <w:rFonts w:eastAsia="等线" w:ascii="Arial" w:cs="Arial" w:hAnsi="Arial"/>
          <w:sz w:val="22"/>
        </w:rPr>
        <w:t>Mobile operation for the critical sales and approval paths.</w:t>
      </w:r>
    </w:p>
    <w:p>
      <w:pPr>
        <w:numPr>
          <w:numId w:val="52"/>
        </w:numPr>
        <w:spacing w:before="120" w:after="120" w:line="288" w:lineRule="auto"/>
        <w:ind w:left="0"/>
        <w:jc w:val="left"/>
      </w:pPr>
      <w:r>
        <w:rPr>
          <w:rFonts w:eastAsia="等线" w:ascii="Arial" w:cs="Arial" w:hAnsi="Arial"/>
          <w:sz w:val="22"/>
        </w:rPr>
        <w:t>Required pick-list/DN PDF fields, headers and Chinese characters.</w:t>
      </w:r>
    </w:p>
    <w:p>
      <w:pPr>
        <w:numPr>
          <w:numId w:val="53"/>
        </w:numPr>
        <w:spacing w:before="120" w:after="120" w:line="288" w:lineRule="auto"/>
        <w:ind w:left="0"/>
        <w:jc w:val="left"/>
      </w:pPr>
      <w:r>
        <w:rPr>
          <w:rFonts w:eastAsia="等线" w:ascii="Arial" w:cs="Arial" w:hAnsi="Arial"/>
          <w:sz w:val="22"/>
        </w:rPr>
        <w:t>No erroneous ERP records, stock movement, duplicate invoice or financial calculation.</w:t>
      </w:r>
    </w:p>
    <w:p>
      <w:pPr>
        <w:pStyle w:val="4"/>
        <w:spacing w:before="260" w:after="120" w:line="288" w:lineRule="auto"/>
        <w:ind w:left="0"/>
        <w:jc w:val="left"/>
        <w:outlineLvl w:val="3"/>
      </w:pPr>
      <w:bookmarkStart w:name="heading_21" w:id="21"/>
      <w:r>
        <w:rPr>
          <w:rFonts w:eastAsia="等线" w:ascii="Arial" w:cs="Arial" w:hAnsi="Arial"/>
          <w:b w:val="true"/>
          <w:sz w:val="28"/>
        </w:rPr>
        <w:t>May Enter Hypercare</w:t>
      </w:r>
      <w:bookmarkEnd w:id="21"/>
    </w:p>
    <w:p>
      <w:pPr>
        <w:spacing w:before="120" w:after="120" w:line="288" w:lineRule="auto"/>
        <w:ind w:left="0"/>
        <w:jc w:val="left"/>
      </w:pPr>
      <w:r>
        <w:rPr>
          <w:rFonts w:eastAsia="等线" w:ascii="Arial" w:cs="Arial" w:hAnsi="Arial"/>
          <w:sz w:val="22"/>
        </w:rPr>
        <w:t>Only after client agreement:</w:t>
      </w:r>
    </w:p>
    <w:p>
      <w:pPr>
        <w:numPr>
          <w:numId w:val="54"/>
        </w:numPr>
        <w:spacing w:before="120" w:after="120" w:line="288" w:lineRule="auto"/>
        <w:ind w:left="0"/>
        <w:jc w:val="left"/>
      </w:pPr>
      <w:r>
        <w:rPr>
          <w:rFonts w:eastAsia="等线" w:ascii="Arial" w:cs="Arial" w:hAnsi="Arial"/>
          <w:sz w:val="22"/>
        </w:rPr>
        <w:t>minor wording or layout issues that do not hide data or prevent printing;</w:t>
      </w:r>
    </w:p>
    <w:p>
      <w:pPr>
        <w:numPr>
          <w:numId w:val="55"/>
        </w:numPr>
        <w:spacing w:before="120" w:after="120" w:line="288" w:lineRule="auto"/>
        <w:ind w:left="0"/>
        <w:jc w:val="left"/>
      </w:pPr>
      <w:r>
        <w:rPr>
          <w:rFonts w:eastAsia="等线" w:ascii="Arial" w:cs="Arial" w:hAnsi="Arial"/>
          <w:sz w:val="22"/>
        </w:rPr>
        <w:t>cosmetic alignment on non-critical desktop pages;</w:t>
      </w:r>
    </w:p>
    <w:p>
      <w:pPr>
        <w:numPr>
          <w:numId w:val="56"/>
        </w:numPr>
        <w:spacing w:before="120" w:after="120" w:line="288" w:lineRule="auto"/>
        <w:ind w:left="0"/>
        <w:jc w:val="left"/>
      </w:pPr>
      <w:r>
        <w:rPr>
          <w:rFonts w:eastAsia="等线" w:ascii="Arial" w:cs="Arial" w:hAnsi="Arial"/>
          <w:sz w:val="22"/>
        </w:rPr>
        <w:t>isolated low-severity usability issues with a reliable, approved operational path;</w:t>
      </w:r>
    </w:p>
    <w:p>
      <w:pPr>
        <w:numPr>
          <w:numId w:val="57"/>
        </w:numPr>
        <w:spacing w:before="120" w:after="120" w:line="288" w:lineRule="auto"/>
        <w:ind w:left="0"/>
        <w:jc w:val="left"/>
      </w:pPr>
      <w:r>
        <w:rPr>
          <w:rFonts w:eastAsia="等线" w:ascii="Arial" w:cs="Arial" w:hAnsi="Arial"/>
          <w:sz w:val="22"/>
        </w:rPr>
        <w:t>non-blocking search/filter enhancements.</w:t>
      </w:r>
    </w:p>
    <w:p>
      <w:pPr>
        <w:pStyle w:val="4"/>
        <w:spacing w:before="260" w:after="120" w:line="288" w:lineRule="auto"/>
        <w:ind w:left="0"/>
        <w:jc w:val="left"/>
        <w:outlineLvl w:val="3"/>
      </w:pPr>
      <w:bookmarkStart w:name="heading_22" w:id="22"/>
      <w:r>
        <w:rPr>
          <w:rFonts w:eastAsia="等线" w:ascii="Arial" w:cs="Arial" w:hAnsi="Arial"/>
          <w:b w:val="true"/>
          <w:sz w:val="28"/>
        </w:rPr>
        <w:t>Deferred / Future Phase</w:t>
      </w:r>
      <w:bookmarkEnd w:id="22"/>
    </w:p>
    <w:p>
      <w:pPr>
        <w:numPr>
          <w:numId w:val="58"/>
        </w:numPr>
        <w:spacing w:before="120" w:after="120" w:line="288" w:lineRule="auto"/>
        <w:ind w:left="0"/>
        <w:jc w:val="left"/>
      </w:pPr>
      <w:r>
        <w:rPr>
          <w:rFonts w:eastAsia="等线" w:ascii="Arial" w:cs="Arial" w:hAnsi="Arial"/>
          <w:sz w:val="22"/>
        </w:rPr>
        <w:t>Product catalogue: agreed in principle; exact template remains to be locked.</w:t>
      </w:r>
    </w:p>
    <w:p>
      <w:pPr>
        <w:numPr>
          <w:numId w:val="59"/>
        </w:numPr>
        <w:spacing w:before="120" w:after="120" w:line="288" w:lineRule="auto"/>
        <w:ind w:left="0"/>
        <w:jc w:val="left"/>
      </w:pPr>
      <w:r>
        <w:rPr>
          <w:rFonts w:eastAsia="等线" w:ascii="Arial" w:cs="Arial" w:hAnsi="Arial"/>
          <w:sz w:val="22"/>
        </w:rPr>
        <w:t>Driver role and mandatory POD: agreed in principle but mechanism and commercial impact open.</w:t>
      </w:r>
    </w:p>
    <w:p>
      <w:pPr>
        <w:numPr>
          <w:numId w:val="60"/>
        </w:numPr>
        <w:spacing w:before="120" w:after="120" w:line="288" w:lineRule="auto"/>
        <w:ind w:left="0"/>
        <w:jc w:val="left"/>
      </w:pPr>
      <w:r>
        <w:rPr>
          <w:rFonts w:eastAsia="等线" w:ascii="Arial" w:cs="Arial" w:hAnsi="Arial"/>
          <w:sz w:val="22"/>
        </w:rPr>
        <w:t>Expanded AR bank-statement workspace: no approved date.</w:t>
      </w:r>
    </w:p>
    <w:p>
      <w:pPr>
        <w:numPr>
          <w:numId w:val="61"/>
        </w:numPr>
        <w:spacing w:before="120" w:after="120" w:line="288" w:lineRule="auto"/>
        <w:ind w:left="0"/>
        <w:jc w:val="left"/>
      </w:pPr>
      <w:r>
        <w:rPr>
          <w:rFonts w:eastAsia="等线" w:ascii="Arial" w:cs="Arial" w:hAnsi="Arial"/>
          <w:sz w:val="22"/>
        </w:rPr>
        <w:t>Cost/buying-price workflow, quotation enhancements and contact database.</w:t>
      </w:r>
    </w:p>
    <w:p>
      <w:pPr>
        <w:numPr>
          <w:numId w:val="62"/>
        </w:numPr>
        <w:spacing w:before="120" w:after="120" w:line="288" w:lineRule="auto"/>
        <w:ind w:left="0"/>
        <w:jc w:val="left"/>
      </w:pPr>
      <w:r>
        <w:rPr>
          <w:rFonts w:eastAsia="等线" w:ascii="Arial" w:cs="Arial" w:hAnsi="Arial"/>
          <w:sz w:val="22"/>
        </w:rPr>
        <w:t>Sunday reports versus dashboard approach.</w:t>
      </w:r>
    </w:p>
    <w:p>
      <w:pPr>
        <w:pStyle w:val="4"/>
        <w:spacing w:before="260" w:after="120" w:line="288" w:lineRule="auto"/>
        <w:ind w:left="0"/>
        <w:jc w:val="left"/>
        <w:outlineLvl w:val="3"/>
      </w:pPr>
      <w:bookmarkStart w:name="heading_23" w:id="23"/>
      <w:r>
        <w:rPr>
          <w:rFonts w:eastAsia="等线" w:ascii="Arial" w:cs="Arial" w:hAnsi="Arial"/>
          <w:b w:val="true"/>
          <w:sz w:val="28"/>
        </w:rPr>
        <w:t>Out of Scope</w:t>
      </w:r>
      <w:bookmarkEnd w:id="23"/>
    </w:p>
    <w:p>
      <w:pPr>
        <w:numPr>
          <w:numId w:val="63"/>
        </w:numPr>
        <w:spacing w:before="120" w:after="120" w:line="288" w:lineRule="auto"/>
        <w:ind w:left="0"/>
        <w:jc w:val="left"/>
      </w:pPr>
      <w:r>
        <w:rPr>
          <w:rFonts w:eastAsia="等线" w:ascii="Arial" w:cs="Arial" w:hAnsi="Arial"/>
          <w:sz w:val="22"/>
        </w:rPr>
        <w:t>AP or supplier reconciliation.</w:t>
      </w:r>
    </w:p>
    <w:p>
      <w:pPr>
        <w:numPr>
          <w:numId w:val="64"/>
        </w:numPr>
        <w:spacing w:before="120" w:after="120" w:line="288" w:lineRule="auto"/>
        <w:ind w:left="0"/>
        <w:jc w:val="left"/>
      </w:pPr>
      <w:r>
        <w:rPr>
          <w:rFonts w:eastAsia="等线" w:ascii="Arial" w:cs="Arial" w:hAnsi="Arial"/>
          <w:sz w:val="22"/>
        </w:rPr>
        <w:t>Merchant/QR settlement.</w:t>
      </w:r>
    </w:p>
    <w:p>
      <w:pPr>
        <w:numPr>
          <w:numId w:val="65"/>
        </w:numPr>
        <w:spacing w:before="120" w:after="120" w:line="288" w:lineRule="auto"/>
        <w:ind w:left="0"/>
        <w:jc w:val="left"/>
      </w:pPr>
      <w:r>
        <w:rPr>
          <w:rFonts w:eastAsia="等线" w:ascii="Arial" w:cs="Arial" w:hAnsi="Arial"/>
          <w:sz w:val="22"/>
        </w:rPr>
        <w:t>Full route/trip planning.</w:t>
      </w:r>
    </w:p>
    <w:p>
      <w:pPr>
        <w:numPr>
          <w:numId w:val="66"/>
        </w:numPr>
        <w:spacing w:before="120" w:after="120" w:line="288" w:lineRule="auto"/>
        <w:ind w:left="0"/>
        <w:jc w:val="left"/>
      </w:pPr>
      <w:r>
        <w:rPr>
          <w:rFonts w:eastAsia="等线" w:ascii="Arial" w:cs="Arial" w:hAnsi="Arial"/>
          <w:sz w:val="22"/>
        </w:rPr>
        <w:t>WMS, barcode or QR warehouse system.</w:t>
      </w:r>
    </w:p>
    <w:p>
      <w:pPr>
        <w:numPr>
          <w:numId w:val="67"/>
        </w:numPr>
        <w:spacing w:before="120" w:after="120" w:line="288" w:lineRule="auto"/>
        <w:ind w:left="0"/>
        <w:jc w:val="left"/>
      </w:pPr>
      <w:r>
        <w:rPr>
          <w:rFonts w:eastAsia="等线" w:ascii="Arial" w:cs="Arial" w:hAnsi="Arial"/>
          <w:sz w:val="22"/>
        </w:rPr>
        <w:t>Volume-based price tiers.</w:t>
      </w:r>
    </w:p>
    <w:p>
      <w:pPr>
        <w:numPr>
          <w:numId w:val="68"/>
        </w:numPr>
        <w:spacing w:before="120" w:after="120" w:line="288" w:lineRule="auto"/>
        <w:ind w:left="0"/>
        <w:jc w:val="left"/>
      </w:pPr>
      <w:r>
        <w:rPr>
          <w:rFonts w:eastAsia="等线" w:ascii="Arial" w:cs="Arial" w:hAnsi="Arial"/>
          <w:sz w:val="22"/>
        </w:rPr>
        <w:t>Full B2C ordering app.</w:t>
      </w:r>
    </w:p>
    <w:p>
      <w:pPr>
        <w:numPr>
          <w:numId w:val="69"/>
        </w:numPr>
        <w:spacing w:before="120" w:after="120" w:line="288" w:lineRule="auto"/>
        <w:ind w:left="0"/>
        <w:jc w:val="left"/>
      </w:pPr>
      <w:r>
        <w:rPr>
          <w:rFonts w:eastAsia="等线" w:ascii="Arial" w:cs="Arial" w:hAnsi="Arial"/>
          <w:sz w:val="22"/>
        </w:rPr>
        <w:t>Automated WhatsApp blasting.</w:t>
      </w:r>
    </w:p>
    <w:p>
      <w:pPr>
        <w:numPr>
          <w:numId w:val="70"/>
        </w:numPr>
        <w:spacing w:before="120" w:after="120" w:line="288" w:lineRule="auto"/>
        <w:ind w:left="0"/>
        <w:jc w:val="left"/>
      </w:pPr>
      <w:r>
        <w:rPr>
          <w:rFonts w:eastAsia="等线" w:ascii="Arial" w:cs="Arial" w:hAnsi="Arial"/>
          <w:sz w:val="22"/>
        </w:rPr>
        <w:t>Packing-list Excel OCR.</w:t>
      </w:r>
    </w:p>
    <w:p>
      <w:pPr>
        <w:numPr>
          <w:numId w:val="71"/>
        </w:numPr>
        <w:spacing w:before="120" w:after="120" w:line="288" w:lineRule="auto"/>
        <w:ind w:left="0"/>
        <w:jc w:val="left"/>
      </w:pPr>
      <w:r>
        <w:rPr>
          <w:rFonts w:eastAsia="等线" w:ascii="Arial" w:cs="Arial" w:hAnsi="Arial"/>
          <w:sz w:val="22"/>
        </w:rPr>
        <w:t>Facebook lead capture.</w:t>
      </w:r>
    </w:p>
    <w:p>
      <w:pPr>
        <w:numPr>
          <w:numId w:val="72"/>
        </w:numPr>
        <w:spacing w:before="120" w:after="120" w:line="288" w:lineRule="auto"/>
        <w:ind w:left="0"/>
        <w:jc w:val="left"/>
      </w:pPr>
      <w:r>
        <w:rPr>
          <w:rFonts w:eastAsia="等线" w:ascii="Arial" w:cs="Arial" w:hAnsi="Arial"/>
          <w:sz w:val="22"/>
        </w:rPr>
        <w:t>Fleet GPS and temperature telemetry.</w:t>
      </w:r>
    </w:p>
    <w:p>
      <w:pPr>
        <w:pStyle w:val="4"/>
        <w:spacing w:before="260" w:after="120" w:line="288" w:lineRule="auto"/>
        <w:ind w:left="0"/>
        <w:jc w:val="left"/>
        <w:outlineLvl w:val="3"/>
      </w:pPr>
      <w:bookmarkStart w:name="heading_24" w:id="24"/>
      <w:r>
        <w:rPr>
          <w:rFonts w:eastAsia="等线" w:ascii="Arial" w:cs="Arial" w:hAnsi="Arial"/>
          <w:b w:val="true"/>
          <w:sz w:val="28"/>
        </w:rPr>
        <w:t>Manual Workarounds</w:t>
      </w:r>
      <w:bookmarkEnd w:id="24"/>
    </w:p>
    <w:p>
      <w:pPr>
        <w:spacing w:before="120" w:after="120" w:line="288" w:lineRule="auto"/>
        <w:ind w:left="0"/>
      </w:pPr>
      <w:r>
        <w:object>
          <v:shape id="_x0000_i1029" style="width:414pt;height:155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 </w:t>
      </w:r>
      <w:r>
        <w:rPr>
          <w:rFonts w:eastAsia="等线" w:ascii="Arial" w:cs="Arial" w:hAnsi="Arial"/>
          <w:b w:val="true"/>
          <w:sz w:val="30"/>
        </w:rPr>
        <w:t>Role and Decision Map</w:t>
      </w:r>
      <w:bookmarkEnd w:id="25"/>
    </w:p>
    <w:p>
      <w:pPr>
        <w:spacing w:before="120" w:after="120" w:line="288" w:lineRule="auto"/>
        <w:ind w:left="0"/>
      </w:pPr>
      <w:r>
        <w:object>
          <v:shape id="_x0000_i1030" style="width:414pt;height:197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PAGE 3 — RISK, GAP AND SESSION GUIDANCE</w:t>
      </w:r>
      <w:bookmarkEnd w:id="26"/>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1. </w:t>
      </w:r>
      <w:r>
        <w:rPr>
          <w:rFonts w:eastAsia="等线" w:ascii="Arial" w:cs="Arial" w:hAnsi="Arial"/>
          <w:b w:val="true"/>
          <w:sz w:val="30"/>
        </w:rPr>
        <w:t>Failure and Recovery Map</w:t>
      </w:r>
      <w:bookmarkEnd w:id="27"/>
    </w:p>
    <w:p>
      <w:pPr>
        <w:spacing w:before="120" w:after="120" w:line="288" w:lineRule="auto"/>
        <w:ind w:left="0"/>
      </w:pPr>
      <w:r>
        <w:object>
          <v:shape id="_x0000_i1031" style="width:414pt;height:197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2. </w:t>
      </w:r>
      <w:r>
        <w:rPr>
          <w:rFonts w:eastAsia="等线" w:ascii="Arial" w:cs="Arial" w:hAnsi="Arial"/>
          <w:b w:val="true"/>
          <w:sz w:val="30"/>
        </w:rPr>
        <w:t>Known Gap and Disclosure Register</w:t>
      </w:r>
      <w:bookmarkEnd w:id="28"/>
    </w:p>
    <w:p>
      <w:pPr>
        <w:spacing w:before="120" w:after="120" w:line="288" w:lineRule="auto"/>
        <w:ind w:left="0"/>
      </w:pPr>
      <w:r>
        <w:object>
          <v:shape id="_x0000_i1032" style="width:414pt;height:197pt;mso-width-percent:0;mso-height-percent:0;mso-width-percent:0;mso-height-percent:0" type="#_x0000_t75" o:ole="">
            <v:imagedata r:id="rId20" o:title=""/>
          </v:shape>
          <o:OLEObject DrawAspect="Icon" ObjectID="_1718471226" ProgID="Excel.Sheet.12" ShapeID="_x0000_i1032" Type="Embed" r:id="rId19"/>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3. </w:t>
      </w:r>
      <w:r>
        <w:rPr>
          <w:rFonts w:eastAsia="等线" w:ascii="Arial" w:cs="Arial" w:hAnsi="Arial"/>
          <w:b w:val="true"/>
          <w:sz w:val="30"/>
        </w:rPr>
        <w:t>Session Conduct Instructions</w:t>
      </w:r>
      <w:bookmarkEnd w:id="29"/>
    </w:p>
    <w:p>
      <w:pPr>
        <w:numPr>
          <w:numId w:val="73"/>
        </w:numPr>
        <w:spacing w:before="120" w:after="120" w:line="288" w:lineRule="auto"/>
        <w:ind w:left="0"/>
        <w:jc w:val="left"/>
      </w:pPr>
      <w:r>
        <w:rPr>
          <w:rFonts w:eastAsia="等线" w:ascii="Arial" w:cs="Arial" w:hAnsi="Arial"/>
          <w:sz w:val="22"/>
        </w:rPr>
        <w:t>Begin with the disclosures above; do not wait for the client to discover them.</w:t>
      </w:r>
    </w:p>
    <w:p>
      <w:pPr>
        <w:numPr>
          <w:numId w:val="74"/>
        </w:numPr>
        <w:spacing w:before="120" w:after="120" w:line="288" w:lineRule="auto"/>
        <w:ind w:left="0"/>
        <w:jc w:val="left"/>
      </w:pPr>
      <w:r>
        <w:rPr>
          <w:rFonts w:eastAsia="等线" w:ascii="Arial" w:cs="Arial" w:hAnsi="Arial"/>
          <w:sz w:val="22"/>
        </w:rPr>
        <w:t>Confirm the named signatory and the exact round-3 acceptance boundary before testing.</w:t>
      </w:r>
    </w:p>
    <w:p>
      <w:pPr>
        <w:numPr>
          <w:numId w:val="75"/>
        </w:numPr>
        <w:spacing w:before="120" w:after="120" w:line="288" w:lineRule="auto"/>
        <w:ind w:left="0"/>
        <w:jc w:val="left"/>
      </w:pPr>
      <w:r>
        <w:rPr>
          <w:rFonts w:eastAsia="等线" w:ascii="Arial" w:cs="Arial" w:hAnsi="Arial"/>
          <w:sz w:val="22"/>
        </w:rPr>
        <w:t>Let Queenie, CJ, David, Grace and Lai perform their own steps.</w:t>
      </w:r>
    </w:p>
    <w:p>
      <w:pPr>
        <w:numPr>
          <w:numId w:val="76"/>
        </w:numPr>
        <w:spacing w:before="120" w:after="120" w:line="288" w:lineRule="auto"/>
        <w:ind w:left="0"/>
        <w:jc w:val="left"/>
      </w:pPr>
      <w:r>
        <w:rPr>
          <w:rFonts w:eastAsia="等线" w:ascii="Arial" w:cs="Arial" w:hAnsi="Arial"/>
          <w:sz w:val="22"/>
        </w:rPr>
        <w:t>Use real Macro Frozen customers, items, UOMs, prices and device models.</w:t>
      </w:r>
    </w:p>
    <w:p>
      <w:pPr>
        <w:numPr>
          <w:numId w:val="77"/>
        </w:numPr>
        <w:spacing w:before="120" w:after="120" w:line="288" w:lineRule="auto"/>
        <w:ind w:left="0"/>
        <w:jc w:val="left"/>
      </w:pPr>
      <w:r>
        <w:rPr>
          <w:rFonts w:eastAsia="等线" w:ascii="Arial" w:cs="Arial" w:hAnsi="Arial"/>
          <w:sz w:val="22"/>
        </w:rPr>
        <w:t>Do not coach a user around a defect to manufacture a Pass.</w:t>
      </w:r>
    </w:p>
    <w:p>
      <w:pPr>
        <w:numPr>
          <w:numId w:val="78"/>
        </w:numPr>
        <w:spacing w:before="120" w:after="120" w:line="288" w:lineRule="auto"/>
        <w:ind w:left="0"/>
        <w:jc w:val="left"/>
      </w:pPr>
      <w:r>
        <w:rPr>
          <w:rFonts w:eastAsia="等线" w:ascii="Arial" w:cs="Arial" w:hAnsi="Arial"/>
          <w:sz w:val="22"/>
        </w:rPr>
        <w:t>Capture screenshots, PDFs, chat messages, activity logs and resulting SQL records before retrying.</w:t>
      </w:r>
    </w:p>
    <w:p>
      <w:pPr>
        <w:numPr>
          <w:numId w:val="79"/>
        </w:numPr>
        <w:spacing w:before="120" w:after="120" w:line="288" w:lineRule="auto"/>
        <w:ind w:left="0"/>
        <w:jc w:val="left"/>
      </w:pPr>
      <w:r>
        <w:rPr>
          <w:rFonts w:eastAsia="等线" w:ascii="Arial" w:cs="Arial" w:hAnsi="Arial"/>
          <w:sz w:val="22"/>
        </w:rPr>
        <w:t>Stop immediately if quantity, price, stock, credit status or ERP records are wrong.</w:t>
      </w:r>
    </w:p>
    <w:p>
      <w:pPr>
        <w:numPr>
          <w:numId w:val="80"/>
        </w:numPr>
        <w:spacing w:before="120" w:after="120" w:line="288" w:lineRule="auto"/>
        <w:ind w:left="0"/>
        <w:jc w:val="left"/>
      </w:pPr>
      <w:r>
        <w:rPr>
          <w:rFonts w:eastAsia="等线" w:ascii="Arial" w:cs="Arial" w:hAnsi="Arial"/>
          <w:sz w:val="22"/>
        </w:rPr>
        <w:t>Limit live debugging; move the issue to an evidence-backed defect and continue only independent cases.</w:t>
      </w:r>
    </w:p>
    <w:p>
      <w:pPr>
        <w:numPr>
          <w:numId w:val="81"/>
        </w:numPr>
        <w:spacing w:before="120" w:after="120" w:line="288" w:lineRule="auto"/>
        <w:ind w:left="0"/>
        <w:jc w:val="left"/>
      </w:pPr>
      <w:r>
        <w:rPr>
          <w:rFonts w:eastAsia="等线" w:ascii="Arial" w:cs="Arial" w:hAnsi="Arial"/>
          <w:sz w:val="22"/>
        </w:rPr>
        <w:t>Classify each issue as defect, configuration, data, environment, integration, permission, training, limitation, future phase, out-of-scope request or unresolved commitment.</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4. </w:t>
      </w:r>
      <w:r>
        <w:rPr>
          <w:rFonts w:eastAsia="等线" w:ascii="Arial" w:cs="Arial" w:hAnsi="Arial"/>
          <w:b w:val="true"/>
          <w:sz w:val="30"/>
        </w:rPr>
        <w:t>Session Deterioration Triggers</w:t>
      </w:r>
      <w:bookmarkEnd w:id="30"/>
    </w:p>
    <w:p>
      <w:pPr>
        <w:spacing w:before="120" w:after="120" w:line="288" w:lineRule="auto"/>
        <w:ind w:left="0"/>
        <w:jc w:val="left"/>
      </w:pPr>
      <w:r>
        <w:rPr>
          <w:rFonts w:eastAsia="等线" w:ascii="Arial" w:cs="Arial" w:hAnsi="Arial"/>
          <w:sz w:val="22"/>
        </w:rPr>
        <w:t>Pause and escalate when:</w:t>
      </w:r>
    </w:p>
    <w:p>
      <w:pPr>
        <w:numPr>
          <w:numId w:val="82"/>
        </w:numPr>
        <w:spacing w:before="120" w:after="120" w:line="288" w:lineRule="auto"/>
        <w:ind w:left="0"/>
        <w:jc w:val="left"/>
      </w:pPr>
      <w:r>
        <w:rPr>
          <w:rFonts w:eastAsia="等线" w:ascii="Arial" w:cs="Arial" w:hAnsi="Arial"/>
          <w:sz w:val="22"/>
        </w:rPr>
        <w:t>the same critical workflow fails twice;</w:t>
      </w:r>
    </w:p>
    <w:p>
      <w:pPr>
        <w:numPr>
          <w:numId w:val="83"/>
        </w:numPr>
        <w:spacing w:before="120" w:after="120" w:line="288" w:lineRule="auto"/>
        <w:ind w:left="0"/>
        <w:jc w:val="left"/>
      </w:pPr>
      <w:r>
        <w:rPr>
          <w:rFonts w:eastAsia="等线" w:ascii="Arial" w:cs="Arial" w:hAnsi="Arial"/>
          <w:sz w:val="22"/>
        </w:rPr>
        <w:t>notification or integration failure invalidates all downstream tests;</w:t>
      </w:r>
    </w:p>
    <w:p>
      <w:pPr>
        <w:numPr>
          <w:numId w:val="84"/>
        </w:numPr>
        <w:spacing w:before="120" w:after="120" w:line="288" w:lineRule="auto"/>
        <w:ind w:left="0"/>
        <w:jc w:val="left"/>
      </w:pPr>
      <w:r>
        <w:rPr>
          <w:rFonts w:eastAsia="等线" w:ascii="Arial" w:cs="Arial" w:hAnsi="Arial"/>
          <w:sz w:val="22"/>
        </w:rPr>
        <w:t>the client raises a previously committed item that the team cannot classify;</w:t>
      </w:r>
    </w:p>
    <w:p>
      <w:pPr>
        <w:numPr>
          <w:numId w:val="85"/>
        </w:numPr>
        <w:spacing w:before="120" w:after="120" w:line="288" w:lineRule="auto"/>
        <w:ind w:left="0"/>
        <w:jc w:val="left"/>
      </w:pPr>
      <w:r>
        <w:rPr>
          <w:rFonts w:eastAsia="等线" w:ascii="Arial" w:cs="Arial" w:hAnsi="Arial"/>
          <w:sz w:val="22"/>
        </w:rPr>
        <w:t>team members give contradictory answers on scope or expected behaviour;</w:t>
      </w:r>
    </w:p>
    <w:p>
      <w:pPr>
        <w:numPr>
          <w:numId w:val="86"/>
        </w:numPr>
        <w:spacing w:before="120" w:after="120" w:line="288" w:lineRule="auto"/>
        <w:ind w:left="0"/>
        <w:jc w:val="left"/>
      </w:pPr>
      <w:r>
        <w:rPr>
          <w:rFonts w:eastAsia="等线" w:ascii="Arial" w:cs="Arial" w:hAnsi="Arial"/>
          <w:sz w:val="22"/>
        </w:rPr>
        <w:t>a financial, stock, quantity or ERP record is wrong;</w:t>
      </w:r>
    </w:p>
    <w:p>
      <w:pPr>
        <w:numPr>
          <w:numId w:val="87"/>
        </w:numPr>
        <w:spacing w:before="120" w:after="120" w:line="288" w:lineRule="auto"/>
        <w:ind w:left="0"/>
        <w:jc w:val="left"/>
      </w:pPr>
      <w:r>
        <w:rPr>
          <w:rFonts w:eastAsia="等线" w:ascii="Arial" w:cs="Arial" w:hAnsi="Arial"/>
          <w:sz w:val="22"/>
        </w:rPr>
        <w:t>the conductor cannot identify the expected result or approved workaround;</w:t>
      </w:r>
    </w:p>
    <w:p>
      <w:pPr>
        <w:numPr>
          <w:numId w:val="88"/>
        </w:numPr>
        <w:spacing w:before="120" w:after="120" w:line="288" w:lineRule="auto"/>
        <w:ind w:left="0"/>
        <w:jc w:val="left"/>
      </w:pPr>
      <w:r>
        <w:rPr>
          <w:rFonts w:eastAsia="等线" w:ascii="Arial" w:cs="Arial" w:hAnsi="Arial"/>
          <w:sz w:val="22"/>
        </w:rPr>
        <w:t>more than 15 minutes is spent debugging one issue in front of the client;</w:t>
      </w:r>
    </w:p>
    <w:p>
      <w:pPr>
        <w:numPr>
          <w:numId w:val="89"/>
        </w:numPr>
        <w:spacing w:before="120" w:after="120" w:line="288" w:lineRule="auto"/>
        <w:ind w:left="0"/>
        <w:jc w:val="left"/>
      </w:pPr>
      <w:r>
        <w:rPr>
          <w:rFonts w:eastAsia="等线" w:ascii="Arial" w:cs="Arial" w:hAnsi="Arial"/>
          <w:sz w:val="22"/>
        </w:rPr>
        <w:t>the client begins testing around the system because the intended workflow is unusable.</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5. </w:t>
      </w:r>
      <w:r>
        <w:rPr>
          <w:rFonts w:eastAsia="等线" w:ascii="Arial" w:cs="Arial" w:hAnsi="Arial"/>
          <w:b w:val="true"/>
          <w:sz w:val="30"/>
        </w:rPr>
        <w:t>Final Readiness Recommendation</w:t>
      </w:r>
      <w:bookmarkEnd w:id="31"/>
    </w:p>
    <w:p>
      <w:pPr>
        <w:pStyle w:val="1"/>
        <w:spacing w:before="380" w:after="140" w:line="288" w:lineRule="auto"/>
        <w:ind w:left="0"/>
        <w:jc w:val="left"/>
        <w:outlineLvl w:val="0"/>
      </w:pPr>
      <w:bookmarkStart w:name="heading_32" w:id="32"/>
      <w:r>
        <w:rPr>
          <w:rFonts w:eastAsia="等线" w:ascii="Arial" w:cs="Arial" w:hAnsi="Arial"/>
          <w:b w:val="true"/>
          <w:sz w:val="36"/>
        </w:rPr>
        <w:t>NO-GO</w:t>
      </w:r>
      <w:bookmarkEnd w:id="32"/>
    </w:p>
    <w:p>
      <w:pPr>
        <w:spacing w:before="120" w:after="120" w:line="288" w:lineRule="auto"/>
        <w:ind w:left="0"/>
        <w:jc w:val="left"/>
      </w:pPr>
      <w:r>
        <w:rPr>
          <w:rFonts w:eastAsia="等线" w:ascii="Arial" w:cs="Arial" w:hAnsi="Arial"/>
          <w:sz w:val="22"/>
        </w:rPr>
        <w:t>The supplied evidence does not prove that the non-negotiable workflows are ready on the client’s configuration, channel, devices and ERP integration. A third UAT should proceed only after the hard gates below are closed and evidenced.</w:t>
      </w:r>
    </w:p>
    <w:p>
      <w:pPr>
        <w:pStyle w:val="3"/>
        <w:spacing w:before="300" w:after="120" w:line="288" w:lineRule="auto"/>
        <w:ind w:left="0"/>
        <w:jc w:val="left"/>
        <w:outlineLvl w:val="2"/>
      </w:pPr>
      <w:bookmarkStart w:name="heading_33" w:id="33"/>
      <w:r>
        <w:rPr>
          <w:rFonts w:eastAsia="等线" w:ascii="Arial" w:cs="Arial" w:hAnsi="Arial"/>
          <w:b w:val="true"/>
          <w:sz w:val="30"/>
        </w:rPr>
        <w:t>Minimum gates to move to CONDITIONAL GO</w:t>
      </w:r>
      <w:bookmarkEnd w:id="33"/>
    </w:p>
    <w:p>
      <w:pPr>
        <w:numPr>
          <w:numId w:val="90"/>
        </w:numPr>
        <w:spacing w:before="120" w:after="120" w:line="288" w:lineRule="auto"/>
        <w:ind w:left="0"/>
        <w:jc w:val="left"/>
      </w:pPr>
      <w:r>
        <w:rPr>
          <w:rFonts w:eastAsia="等线" w:ascii="Arial" w:cs="Arial" w:hAnsi="Arial"/>
          <w:sz w:val="22"/>
        </w:rPr>
        <w:t>David records the credit enforcement rule in writing.</w:t>
      </w:r>
    </w:p>
    <w:p>
      <w:pPr>
        <w:numPr>
          <w:numId w:val="91"/>
        </w:numPr>
        <w:spacing w:before="120" w:after="120" w:line="288" w:lineRule="auto"/>
        <w:ind w:left="0"/>
        <w:jc w:val="left"/>
      </w:pPr>
      <w:r>
        <w:rPr>
          <w:rFonts w:eastAsia="等线" w:ascii="Arial" w:cs="Arial" w:hAnsi="Arial"/>
          <w:sz w:val="22"/>
        </w:rPr>
        <w:t>Notification-service owner is assigned and all P0 events pass internal end-to-end testing.</w:t>
      </w:r>
    </w:p>
    <w:p>
      <w:pPr>
        <w:numPr>
          <w:numId w:val="92"/>
        </w:numPr>
        <w:spacing w:before="120" w:after="120" w:line="288" w:lineRule="auto"/>
        <w:ind w:left="0"/>
        <w:jc w:val="left"/>
      </w:pPr>
      <w:r>
        <w:rPr>
          <w:rFonts w:eastAsia="等线" w:ascii="Arial" w:cs="Arial" w:hAnsi="Arial"/>
          <w:sz w:val="22"/>
        </w:rPr>
        <w:t>WhatsApp is verified and a channel-parity smoke test passes.</w:t>
      </w:r>
    </w:p>
    <w:p>
      <w:pPr>
        <w:numPr>
          <w:numId w:val="93"/>
        </w:numPr>
        <w:spacing w:before="120" w:after="120" w:line="288" w:lineRule="auto"/>
        <w:ind w:left="0"/>
        <w:jc w:val="left"/>
      </w:pPr>
      <w:r>
        <w:rPr>
          <w:rFonts w:eastAsia="等线" w:ascii="Arial" w:cs="Arial" w:hAnsi="Arial"/>
          <w:sz w:val="22"/>
        </w:rPr>
        <w:t>ERP integration access and SO/DN/Invoice push are proven.</w:t>
      </w:r>
    </w:p>
    <w:p>
      <w:pPr>
        <w:numPr>
          <w:numId w:val="94"/>
        </w:numPr>
        <w:spacing w:before="120" w:after="120" w:line="288" w:lineRule="auto"/>
        <w:ind w:left="0"/>
        <w:jc w:val="left"/>
      </w:pPr>
      <w:r>
        <w:rPr>
          <w:rFonts w:eastAsia="等线" w:ascii="Arial" w:cs="Arial" w:hAnsi="Arial"/>
          <w:sz w:val="22"/>
        </w:rPr>
        <w:t>Z Fold and iPhone approval tests pass on the named devices.</w:t>
      </w:r>
    </w:p>
    <w:p>
      <w:pPr>
        <w:numPr>
          <w:numId w:val="95"/>
        </w:numPr>
        <w:spacing w:before="120" w:after="120" w:line="288" w:lineRule="auto"/>
        <w:ind w:left="0"/>
        <w:jc w:val="left"/>
      </w:pPr>
      <w:r>
        <w:rPr>
          <w:rFonts w:eastAsia="等线" w:ascii="Arial" w:cs="Arial" w:hAnsi="Arial"/>
          <w:sz w:val="22"/>
        </w:rPr>
        <w:t>Pick-list Chinese/header printing defects pass.</w:t>
      </w:r>
    </w:p>
    <w:p>
      <w:pPr>
        <w:numPr>
          <w:numId w:val="96"/>
        </w:numPr>
        <w:spacing w:before="120" w:after="120" w:line="288" w:lineRule="auto"/>
        <w:ind w:left="0"/>
        <w:jc w:val="left"/>
      </w:pPr>
      <w:r>
        <w:rPr>
          <w:rFonts w:eastAsia="等线" w:ascii="Arial" w:cs="Arial" w:hAnsi="Arial"/>
          <w:sz w:val="22"/>
        </w:rPr>
        <w:t>AS-11 is either proven or the Excel fallback is explicitly accepted.</w:t>
      </w:r>
    </w:p>
    <w:p>
      <w:pPr>
        <w:numPr>
          <w:numId w:val="97"/>
        </w:numPr>
        <w:spacing w:before="120" w:after="120" w:line="288" w:lineRule="auto"/>
        <w:ind w:left="0"/>
        <w:jc w:val="left"/>
      </w:pPr>
      <w:r>
        <w:rPr>
          <w:rFonts w:eastAsia="等线" w:ascii="Arial" w:cs="Arial" w:hAnsi="Arial"/>
          <w:sz w:val="22"/>
        </w:rPr>
        <w:t>Exact UAT date, acceptance scope and final signatory are recorded.</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4" w:id="34"/>
      <w:r>
        <w:rPr>
          <w:rFonts w:eastAsia="等线" w:ascii="Arial" w:cs="Arial" w:hAnsi="Arial"/>
          <w:b w:val="true"/>
          <w:sz w:val="36"/>
        </w:rPr>
        <w:t>PART 3 — SUPPORTING REFERENCES</w:t>
      </w:r>
      <w:bookmarkEnd w:id="34"/>
    </w:p>
    <w:p>
      <w:pPr>
        <w:spacing w:before="120" w:after="120" w:line="288" w:lineRule="auto"/>
        <w:ind w:left="0"/>
      </w:pPr>
      <w:r>
        <w:object>
          <v:shape id="_x0000_i1033" style="width:414pt;height:197pt;mso-width-percent:0;mso-height-percent:0;mso-width-percent:0;mso-height-percent:0" type="#_x0000_t75" o:ole="">
            <v:imagedata r:id="rId22" o:title=""/>
          </v:shape>
          <o:OLEObject DrawAspect="Icon" ObjectID="_1718471227" ProgID="Excel.Sheet.12" ShapeID="_x0000_i1033"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sectPr>
      <w:footerReference w:type="default" r:id="rId3"/>
      <w:headerReference w:type="default" r:id="rId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1438">
    <w:lvl>
      <w:start w:val="1"/>
      <w:numFmt w:val="decimal"/>
      <w:suff w:val="tab"/>
      <w:lvlText w:val="%1."/>
      <w:rPr>
        <w:color w:val="3370ff"/>
      </w:rPr>
    </w:lvl>
  </w:abstractNum>
  <w:abstractNum w:abstractNumId="51439">
    <w:lvl>
      <w:start w:val="2"/>
      <w:numFmt w:val="decimal"/>
      <w:suff w:val="tab"/>
      <w:lvlText w:val="%1."/>
      <w:rPr>
        <w:color w:val="3370ff"/>
      </w:rPr>
    </w:lvl>
  </w:abstractNum>
  <w:abstractNum w:abstractNumId="51440">
    <w:lvl>
      <w:start w:val="3"/>
      <w:numFmt w:val="decimal"/>
      <w:suff w:val="tab"/>
      <w:lvlText w:val="%1."/>
      <w:rPr>
        <w:color w:val="3370ff"/>
      </w:rPr>
    </w:lvl>
  </w:abstractNum>
  <w:abstractNum w:abstractNumId="51441">
    <w:lvl>
      <w:start w:val="4"/>
      <w:numFmt w:val="decimal"/>
      <w:suff w:val="tab"/>
      <w:lvlText w:val="%1."/>
      <w:rPr>
        <w:color w:val="3370ff"/>
      </w:rPr>
    </w:lvl>
  </w:abstractNum>
  <w:abstractNum w:abstractNumId="51442">
    <w:lvl>
      <w:start w:val="5"/>
      <w:numFmt w:val="decimal"/>
      <w:suff w:val="tab"/>
      <w:lvlText w:val="%1."/>
      <w:rPr>
        <w:color w:val="3370ff"/>
      </w:rPr>
    </w:lvl>
  </w:abstractNum>
  <w:abstractNum w:abstractNumId="51443">
    <w:lvl>
      <w:start w:val="6"/>
      <w:numFmt w:val="decimal"/>
      <w:suff w:val="tab"/>
      <w:lvlText w:val="%1."/>
      <w:rPr>
        <w:color w:val="3370ff"/>
      </w:rPr>
    </w:lvl>
  </w:abstractNum>
  <w:abstractNum w:abstractNumId="51444">
    <w:lvl>
      <w:start w:val="7"/>
      <w:numFmt w:val="decimal"/>
      <w:suff w:val="tab"/>
      <w:lvlText w:val="%1."/>
      <w:rPr>
        <w:color w:val="3370ff"/>
      </w:rPr>
    </w:lvl>
  </w:abstractNum>
  <w:abstractNum w:abstractNumId="51445">
    <w:lvl>
      <w:start w:val="8"/>
      <w:numFmt w:val="decimal"/>
      <w:suff w:val="tab"/>
      <w:lvlText w:val="%1."/>
      <w:rPr>
        <w:color w:val="3370ff"/>
      </w:rPr>
    </w:lvl>
  </w:abstractNum>
  <w:abstractNum w:abstractNumId="51446">
    <w:lvl>
      <w:start w:val="9"/>
      <w:numFmt w:val="decimal"/>
      <w:suff w:val="tab"/>
      <w:lvlText w:val="%1."/>
      <w:rPr>
        <w:color w:val="3370ff"/>
      </w:rPr>
    </w:lvl>
  </w:abstractNum>
  <w:abstractNum w:abstractNumId="51447">
    <w:lvl>
      <w:numFmt w:val="bullet"/>
      <w:suff w:val="tab"/>
      <w:lvlText w:val="•"/>
      <w:rPr>
        <w:color w:val="3370ff"/>
      </w:rPr>
    </w:lvl>
  </w:abstractNum>
  <w:abstractNum w:abstractNumId="51448">
    <w:lvl>
      <w:numFmt w:val="bullet"/>
      <w:suff w:val="tab"/>
      <w:lvlText w:val="•"/>
      <w:rPr>
        <w:color w:val="3370ff"/>
      </w:rPr>
    </w:lvl>
  </w:abstractNum>
  <w:abstractNum w:abstractNumId="51449">
    <w:lvl>
      <w:numFmt w:val="bullet"/>
      <w:suff w:val="tab"/>
      <w:lvlText w:val="•"/>
      <w:rPr>
        <w:color w:val="3370ff"/>
      </w:rPr>
    </w:lvl>
  </w:abstractNum>
  <w:abstractNum w:abstractNumId="51450">
    <w:lvl>
      <w:numFmt w:val="bullet"/>
      <w:suff w:val="tab"/>
      <w:lvlText w:val="•"/>
      <w:rPr>
        <w:color w:val="3370ff"/>
      </w:rPr>
    </w:lvl>
  </w:abstractNum>
  <w:abstractNum w:abstractNumId="51451">
    <w:lvl>
      <w:numFmt w:val="bullet"/>
      <w:suff w:val="tab"/>
      <w:lvlText w:val="•"/>
      <w:rPr>
        <w:color w:val="3370ff"/>
      </w:rPr>
    </w:lvl>
  </w:abstractNum>
  <w:abstractNum w:abstractNumId="51452">
    <w:lvl>
      <w:numFmt w:val="bullet"/>
      <w:suff w:val="tab"/>
      <w:lvlText w:val="•"/>
      <w:rPr>
        <w:color w:val="3370ff"/>
      </w:rPr>
    </w:lvl>
  </w:abstractNum>
  <w:abstractNum w:abstractNumId="51453">
    <w:lvl>
      <w:numFmt w:val="bullet"/>
      <w:suff w:val="tab"/>
      <w:lvlText w:val="•"/>
      <w:rPr>
        <w:color w:val="3370ff"/>
      </w:rPr>
    </w:lvl>
  </w:abstractNum>
  <w:abstractNum w:abstractNumId="51454">
    <w:lvl>
      <w:numFmt w:val="bullet"/>
      <w:suff w:val="tab"/>
      <w:lvlText w:val="•"/>
      <w:rPr>
        <w:color w:val="3370ff"/>
      </w:rPr>
    </w:lvl>
  </w:abstractNum>
  <w:abstractNum w:abstractNumId="51455">
    <w:lvl>
      <w:numFmt w:val="bullet"/>
      <w:suff w:val="tab"/>
      <w:lvlText w:val="•"/>
      <w:rPr>
        <w:color w:val="3370ff"/>
      </w:rPr>
    </w:lvl>
  </w:abstractNum>
  <w:abstractNum w:abstractNumId="51456">
    <w:lvl>
      <w:numFmt w:val="bullet"/>
      <w:suff w:val="tab"/>
      <w:lvlText w:val="•"/>
      <w:rPr>
        <w:color w:val="3370ff"/>
      </w:rPr>
    </w:lvl>
  </w:abstractNum>
  <w:abstractNum w:abstractNumId="51457">
    <w:lvl>
      <w:numFmt w:val="bullet"/>
      <w:suff w:val="tab"/>
      <w:lvlText w:val="•"/>
      <w:rPr>
        <w:color w:val="3370ff"/>
      </w:rPr>
    </w:lvl>
  </w:abstractNum>
  <w:abstractNum w:abstractNumId="51458">
    <w:lvl>
      <w:numFmt w:val="bullet"/>
      <w:suff w:val="tab"/>
      <w:lvlText w:val="•"/>
      <w:rPr>
        <w:color w:val="3370ff"/>
      </w:rPr>
    </w:lvl>
  </w:abstractNum>
  <w:abstractNum w:abstractNumId="51459">
    <w:lvl>
      <w:numFmt w:val="bullet"/>
      <w:suff w:val="tab"/>
      <w:lvlText w:val="•"/>
      <w:rPr>
        <w:color w:val="3370ff"/>
      </w:rPr>
    </w:lvl>
  </w:abstractNum>
  <w:abstractNum w:abstractNumId="51460">
    <w:lvl>
      <w:numFmt w:val="bullet"/>
      <w:suff w:val="tab"/>
      <w:lvlText w:val="•"/>
      <w:rPr>
        <w:color w:val="3370ff"/>
      </w:rPr>
    </w:lvl>
  </w:abstractNum>
  <w:abstractNum w:abstractNumId="51461">
    <w:lvl>
      <w:numFmt w:val="bullet"/>
      <w:suff w:val="tab"/>
      <w:lvlText w:val="•"/>
      <w:rPr>
        <w:color w:val="3370ff"/>
      </w:rPr>
    </w:lvl>
  </w:abstractNum>
  <w:abstractNum w:abstractNumId="51462">
    <w:lvl>
      <w:numFmt w:val="bullet"/>
      <w:suff w:val="tab"/>
      <w:lvlText w:val="•"/>
      <w:rPr>
        <w:color w:val="3370ff"/>
      </w:rPr>
    </w:lvl>
  </w:abstractNum>
  <w:abstractNum w:abstractNumId="51463">
    <w:lvl>
      <w:numFmt w:val="bullet"/>
      <w:suff w:val="tab"/>
      <w:lvlText w:val="•"/>
      <w:rPr>
        <w:color w:val="3370ff"/>
      </w:rPr>
    </w:lvl>
  </w:abstractNum>
  <w:abstractNum w:abstractNumId="51464">
    <w:lvl>
      <w:numFmt w:val="bullet"/>
      <w:suff w:val="tab"/>
      <w:lvlText w:val="•"/>
      <w:rPr>
        <w:color w:val="3370ff"/>
      </w:rPr>
    </w:lvl>
  </w:abstractNum>
  <w:abstractNum w:abstractNumId="51465">
    <w:lvl>
      <w:numFmt w:val="bullet"/>
      <w:suff w:val="tab"/>
      <w:lvlText w:val="•"/>
      <w:rPr>
        <w:color w:val="3370ff"/>
      </w:rPr>
    </w:lvl>
  </w:abstractNum>
  <w:abstractNum w:abstractNumId="51466">
    <w:lvl>
      <w:numFmt w:val="bullet"/>
      <w:suff w:val="tab"/>
      <w:lvlText w:val="•"/>
      <w:rPr>
        <w:color w:val="3370ff"/>
      </w:rPr>
    </w:lvl>
  </w:abstractNum>
  <w:abstractNum w:abstractNumId="51467">
    <w:lvl>
      <w:numFmt w:val="bullet"/>
      <w:suff w:val="tab"/>
      <w:lvlText w:val="•"/>
      <w:rPr>
        <w:color w:val="3370ff"/>
      </w:rPr>
    </w:lvl>
  </w:abstractNum>
  <w:abstractNum w:abstractNumId="51468">
    <w:lvl>
      <w:numFmt w:val="bullet"/>
      <w:suff w:val="tab"/>
      <w:lvlText w:val="•"/>
      <w:rPr>
        <w:color w:val="3370ff"/>
      </w:rPr>
    </w:lvl>
  </w:abstractNum>
  <w:abstractNum w:abstractNumId="51469">
    <w:lvl>
      <w:start w:val="1"/>
      <w:numFmt w:val="decimal"/>
      <w:suff w:val="tab"/>
      <w:lvlText w:val="%1."/>
      <w:rPr>
        <w:color w:val="3370ff"/>
      </w:rPr>
    </w:lvl>
  </w:abstractNum>
  <w:abstractNum w:abstractNumId="51470">
    <w:lvl>
      <w:start w:val="2"/>
      <w:numFmt w:val="decimal"/>
      <w:suff w:val="tab"/>
      <w:lvlText w:val="%1."/>
      <w:rPr>
        <w:color w:val="3370ff"/>
      </w:rPr>
    </w:lvl>
  </w:abstractNum>
  <w:abstractNum w:abstractNumId="51471">
    <w:lvl>
      <w:start w:val="3"/>
      <w:numFmt w:val="decimal"/>
      <w:suff w:val="tab"/>
      <w:lvlText w:val="%1."/>
      <w:rPr>
        <w:color w:val="3370ff"/>
      </w:rPr>
    </w:lvl>
  </w:abstractNum>
  <w:abstractNum w:abstractNumId="51472">
    <w:lvl>
      <w:start w:val="4"/>
      <w:numFmt w:val="decimal"/>
      <w:suff w:val="tab"/>
      <w:lvlText w:val="%1."/>
      <w:rPr>
        <w:color w:val="3370ff"/>
      </w:rPr>
    </w:lvl>
  </w:abstractNum>
  <w:abstractNum w:abstractNumId="51473">
    <w:lvl>
      <w:start w:val="5"/>
      <w:numFmt w:val="decimal"/>
      <w:suff w:val="tab"/>
      <w:lvlText w:val="%1."/>
      <w:rPr>
        <w:color w:val="3370ff"/>
      </w:rPr>
    </w:lvl>
  </w:abstractNum>
  <w:abstractNum w:abstractNumId="51474">
    <w:lvl>
      <w:start w:val="6"/>
      <w:numFmt w:val="decimal"/>
      <w:suff w:val="tab"/>
      <w:lvlText w:val="%1."/>
      <w:rPr>
        <w:color w:val="3370ff"/>
      </w:rPr>
    </w:lvl>
  </w:abstractNum>
  <w:abstractNum w:abstractNumId="51475">
    <w:lvl>
      <w:numFmt w:val="bullet"/>
      <w:suff w:val="tab"/>
      <w:lvlText w:val="•"/>
      <w:rPr>
        <w:color w:val="3370ff"/>
      </w:rPr>
    </w:lvl>
  </w:abstractNum>
  <w:abstractNum w:abstractNumId="51476">
    <w:lvl>
      <w:numFmt w:val="bullet"/>
      <w:suff w:val="tab"/>
      <w:lvlText w:val="•"/>
      <w:rPr>
        <w:color w:val="3370ff"/>
      </w:rPr>
    </w:lvl>
  </w:abstractNum>
  <w:abstractNum w:abstractNumId="51477">
    <w:lvl>
      <w:numFmt w:val="bullet"/>
      <w:suff w:val="tab"/>
      <w:lvlText w:val="•"/>
      <w:rPr>
        <w:color w:val="3370ff"/>
      </w:rPr>
    </w:lvl>
  </w:abstractNum>
  <w:abstractNum w:abstractNumId="51478">
    <w:lvl>
      <w:numFmt w:val="bullet"/>
      <w:suff w:val="tab"/>
      <w:lvlText w:val="•"/>
      <w:rPr>
        <w:color w:val="3370ff"/>
      </w:rPr>
    </w:lvl>
  </w:abstractNum>
  <w:abstractNum w:abstractNumId="51479">
    <w:lvl>
      <w:numFmt w:val="bullet"/>
      <w:suff w:val="tab"/>
      <w:lvlText w:val="•"/>
      <w:rPr>
        <w:color w:val="3370ff"/>
      </w:rPr>
    </w:lvl>
  </w:abstractNum>
  <w:abstractNum w:abstractNumId="51480">
    <w:lvl>
      <w:numFmt w:val="bullet"/>
      <w:suff w:val="tab"/>
      <w:lvlText w:val="•"/>
      <w:rPr>
        <w:color w:val="3370ff"/>
      </w:rPr>
    </w:lvl>
  </w:abstractNum>
  <w:abstractNum w:abstractNumId="51481">
    <w:lvl>
      <w:numFmt w:val="bullet"/>
      <w:suff w:val="tab"/>
      <w:lvlText w:val="•"/>
      <w:rPr>
        <w:color w:val="3370ff"/>
      </w:rPr>
    </w:lvl>
  </w:abstractNum>
  <w:abstractNum w:abstractNumId="51482">
    <w:lvl>
      <w:numFmt w:val="bullet"/>
      <w:suff w:val="tab"/>
      <w:lvlText w:val="•"/>
      <w:rPr>
        <w:color w:val="3370ff"/>
      </w:rPr>
    </w:lvl>
  </w:abstractNum>
  <w:abstractNum w:abstractNumId="51483">
    <w:lvl>
      <w:numFmt w:val="bullet"/>
      <w:suff w:val="tab"/>
      <w:lvlText w:val="•"/>
      <w:rPr>
        <w:color w:val="3370ff"/>
      </w:rPr>
    </w:lvl>
  </w:abstractNum>
  <w:abstractNum w:abstractNumId="51484">
    <w:lvl>
      <w:numFmt w:val="bullet"/>
      <w:suff w:val="tab"/>
      <w:lvlText w:val="•"/>
      <w:rPr>
        <w:color w:val="3370ff"/>
      </w:rPr>
    </w:lvl>
  </w:abstractNum>
  <w:abstractNum w:abstractNumId="51485">
    <w:lvl>
      <w:numFmt w:val="bullet"/>
      <w:suff w:val="tab"/>
      <w:lvlText w:val="•"/>
      <w:rPr>
        <w:color w:val="3370ff"/>
      </w:rPr>
    </w:lvl>
  </w:abstractNum>
  <w:abstractNum w:abstractNumId="51486">
    <w:lvl>
      <w:numFmt w:val="bullet"/>
      <w:suff w:val="tab"/>
      <w:lvlText w:val="•"/>
      <w:rPr>
        <w:color w:val="3370ff"/>
      </w:rPr>
    </w:lvl>
  </w:abstractNum>
  <w:abstractNum w:abstractNumId="51487">
    <w:lvl>
      <w:numFmt w:val="bullet"/>
      <w:suff w:val="tab"/>
      <w:lvlText w:val="•"/>
      <w:rPr>
        <w:color w:val="3370ff"/>
      </w:rPr>
    </w:lvl>
  </w:abstractNum>
  <w:abstractNum w:abstractNumId="51488">
    <w:lvl>
      <w:numFmt w:val="bullet"/>
      <w:suff w:val="tab"/>
      <w:lvlText w:val="•"/>
      <w:rPr>
        <w:color w:val="3370ff"/>
      </w:rPr>
    </w:lvl>
  </w:abstractNum>
  <w:abstractNum w:abstractNumId="51489">
    <w:lvl>
      <w:numFmt w:val="bullet"/>
      <w:suff w:val="tab"/>
      <w:lvlText w:val="•"/>
      <w:rPr>
        <w:color w:val="3370ff"/>
      </w:rPr>
    </w:lvl>
  </w:abstractNum>
  <w:abstractNum w:abstractNumId="51490">
    <w:lvl>
      <w:numFmt w:val="bullet"/>
      <w:suff w:val="tab"/>
      <w:lvlText w:val="•"/>
      <w:rPr>
        <w:color w:val="3370ff"/>
      </w:rPr>
    </w:lvl>
  </w:abstractNum>
  <w:abstractNum w:abstractNumId="51491">
    <w:lvl>
      <w:numFmt w:val="bullet"/>
      <w:suff w:val="tab"/>
      <w:lvlText w:val="•"/>
      <w:rPr>
        <w:color w:val="3370ff"/>
      </w:rPr>
    </w:lvl>
  </w:abstractNum>
  <w:abstractNum w:abstractNumId="51492">
    <w:lvl>
      <w:numFmt w:val="bullet"/>
      <w:suff w:val="tab"/>
      <w:lvlText w:val="•"/>
      <w:rPr>
        <w:color w:val="3370ff"/>
      </w:rPr>
    </w:lvl>
  </w:abstractNum>
  <w:abstractNum w:abstractNumId="51493">
    <w:lvl>
      <w:numFmt w:val="bullet"/>
      <w:suff w:val="tab"/>
      <w:lvlText w:val="•"/>
      <w:rPr>
        <w:color w:val="3370ff"/>
      </w:rPr>
    </w:lvl>
  </w:abstractNum>
  <w:abstractNum w:abstractNumId="51494">
    <w:lvl>
      <w:numFmt w:val="bullet"/>
      <w:suff w:val="tab"/>
      <w:lvlText w:val="•"/>
      <w:rPr>
        <w:color w:val="3370ff"/>
      </w:rPr>
    </w:lvl>
  </w:abstractNum>
  <w:abstractNum w:abstractNumId="51495">
    <w:lvl>
      <w:numFmt w:val="bullet"/>
      <w:suff w:val="tab"/>
      <w:lvlText w:val="•"/>
      <w:rPr>
        <w:color w:val="3370ff"/>
      </w:rPr>
    </w:lvl>
  </w:abstractNum>
  <w:abstractNum w:abstractNumId="51496">
    <w:lvl>
      <w:numFmt w:val="bullet"/>
      <w:suff w:val="tab"/>
      <w:lvlText w:val="•"/>
      <w:rPr>
        <w:color w:val="3370ff"/>
      </w:rPr>
    </w:lvl>
  </w:abstractNum>
  <w:abstractNum w:abstractNumId="51497">
    <w:lvl>
      <w:numFmt w:val="bullet"/>
      <w:suff w:val="tab"/>
      <w:lvlText w:val="•"/>
      <w:rPr>
        <w:color w:val="3370ff"/>
      </w:rPr>
    </w:lvl>
  </w:abstractNum>
  <w:abstractNum w:abstractNumId="51498">
    <w:lvl>
      <w:numFmt w:val="bullet"/>
      <w:suff w:val="tab"/>
      <w:lvlText w:val="•"/>
      <w:rPr>
        <w:color w:val="3370ff"/>
      </w:rPr>
    </w:lvl>
  </w:abstractNum>
  <w:abstractNum w:abstractNumId="51499">
    <w:lvl>
      <w:numFmt w:val="bullet"/>
      <w:suff w:val="tab"/>
      <w:lvlText w:val="•"/>
      <w:rPr>
        <w:color w:val="3370ff"/>
      </w:rPr>
    </w:lvl>
  </w:abstractNum>
  <w:abstractNum w:abstractNumId="51500">
    <w:lvl>
      <w:numFmt w:val="bullet"/>
      <w:suff w:val="tab"/>
      <w:lvlText w:val="•"/>
      <w:rPr>
        <w:color w:val="3370ff"/>
      </w:rPr>
    </w:lvl>
  </w:abstractNum>
  <w:abstractNum w:abstractNumId="51501">
    <w:lvl>
      <w:numFmt w:val="bullet"/>
      <w:suff w:val="tab"/>
      <w:lvlText w:val="•"/>
      <w:rPr>
        <w:color w:val="3370ff"/>
      </w:rPr>
    </w:lvl>
  </w:abstractNum>
  <w:abstractNum w:abstractNumId="51502">
    <w:lvl>
      <w:numFmt w:val="bullet"/>
      <w:suff w:val="tab"/>
      <w:lvlText w:val="•"/>
      <w:rPr>
        <w:color w:val="3370ff"/>
      </w:rPr>
    </w:lvl>
  </w:abstractNum>
  <w:abstractNum w:abstractNumId="51503">
    <w:lvl>
      <w:numFmt w:val="bullet"/>
      <w:suff w:val="tab"/>
      <w:lvlText w:val="•"/>
      <w:rPr>
        <w:color w:val="3370ff"/>
      </w:rPr>
    </w:lvl>
  </w:abstractNum>
  <w:abstractNum w:abstractNumId="51504">
    <w:lvl>
      <w:numFmt w:val="bullet"/>
      <w:suff w:val="tab"/>
      <w:lvlText w:val="•"/>
      <w:rPr>
        <w:color w:val="3370ff"/>
      </w:rPr>
    </w:lvl>
  </w:abstractNum>
  <w:abstractNum w:abstractNumId="51505">
    <w:lvl>
      <w:numFmt w:val="bullet"/>
      <w:suff w:val="tab"/>
      <w:lvlText w:val="•"/>
      <w:rPr>
        <w:color w:val="3370ff"/>
      </w:rPr>
    </w:lvl>
  </w:abstractNum>
  <w:abstractNum w:abstractNumId="51506">
    <w:lvl>
      <w:numFmt w:val="bullet"/>
      <w:suff w:val="tab"/>
      <w:lvlText w:val="•"/>
      <w:rPr>
        <w:color w:val="3370ff"/>
      </w:rPr>
    </w:lvl>
  </w:abstractNum>
  <w:abstractNum w:abstractNumId="51507">
    <w:lvl>
      <w:numFmt w:val="bullet"/>
      <w:suff w:val="tab"/>
      <w:lvlText w:val="•"/>
      <w:rPr>
        <w:color w:val="3370ff"/>
      </w:rPr>
    </w:lvl>
  </w:abstractNum>
  <w:abstractNum w:abstractNumId="51508">
    <w:lvl>
      <w:numFmt w:val="bullet"/>
      <w:suff w:val="tab"/>
      <w:lvlText w:val="•"/>
      <w:rPr>
        <w:color w:val="3370ff"/>
      </w:rPr>
    </w:lvl>
  </w:abstractNum>
  <w:abstractNum w:abstractNumId="51509">
    <w:lvl>
      <w:numFmt w:val="bullet"/>
      <w:suff w:val="tab"/>
      <w:lvlText w:val="•"/>
      <w:rPr>
        <w:color w:val="3370ff"/>
      </w:rPr>
    </w:lvl>
  </w:abstractNum>
  <w:abstractNum w:abstractNumId="51510">
    <w:lvl>
      <w:numFmt w:val="bullet"/>
      <w:suff w:val="tab"/>
      <w:lvlText w:val="•"/>
      <w:rPr>
        <w:color w:val="3370ff"/>
      </w:rPr>
    </w:lvl>
  </w:abstractNum>
  <w:abstractNum w:abstractNumId="51511">
    <w:lvl>
      <w:numFmt w:val="bullet"/>
      <w:suff w:val="tab"/>
      <w:lvlText w:val="•"/>
      <w:rPr>
        <w:color w:val="3370ff"/>
      </w:rPr>
    </w:lvl>
  </w:abstractNum>
  <w:abstractNum w:abstractNumId="51512">
    <w:lvl>
      <w:numFmt w:val="bullet"/>
      <w:suff w:val="tab"/>
      <w:lvlText w:val="•"/>
      <w:rPr>
        <w:color w:val="3370ff"/>
      </w:rPr>
    </w:lvl>
  </w:abstractNum>
  <w:abstractNum w:abstractNumId="51513">
    <w:lvl>
      <w:numFmt w:val="bullet"/>
      <w:suff w:val="tab"/>
      <w:lvlText w:val="•"/>
      <w:rPr>
        <w:color w:val="3370ff"/>
      </w:rPr>
    </w:lvl>
  </w:abstractNum>
  <w:abstractNum w:abstractNumId="51514">
    <w:lvl>
      <w:numFmt w:val="bullet"/>
      <w:suff w:val="tab"/>
      <w:lvlText w:val="•"/>
      <w:rPr>
        <w:color w:val="3370ff"/>
      </w:rPr>
    </w:lvl>
  </w:abstractNum>
  <w:abstractNum w:abstractNumId="51515">
    <w:lvl>
      <w:numFmt w:val="bullet"/>
      <w:suff w:val="tab"/>
      <w:lvlText w:val="•"/>
      <w:rPr>
        <w:color w:val="3370ff"/>
      </w:rPr>
    </w:lvl>
  </w:abstractNum>
  <w:abstractNum w:abstractNumId="51516">
    <w:lvl>
      <w:numFmt w:val="bullet"/>
      <w:suff w:val="tab"/>
      <w:lvlText w:val="•"/>
      <w:rPr>
        <w:color w:val="3370ff"/>
      </w:rPr>
    </w:lvl>
  </w:abstractNum>
  <w:abstractNum w:abstractNumId="51517">
    <w:lvl>
      <w:numFmt w:val="bullet"/>
      <w:suff w:val="tab"/>
      <w:lvlText w:val="•"/>
      <w:rPr>
        <w:color w:val="3370ff"/>
      </w:rPr>
    </w:lvl>
  </w:abstractNum>
  <w:abstractNum w:abstractNumId="51518">
    <w:lvl>
      <w:numFmt w:val="bullet"/>
      <w:suff w:val="tab"/>
      <w:lvlText w:val="•"/>
      <w:rPr>
        <w:color w:val="3370ff"/>
      </w:rPr>
    </w:lvl>
  </w:abstractNum>
  <w:abstractNum w:abstractNumId="51519">
    <w:lvl>
      <w:start w:val="1"/>
      <w:numFmt w:val="decimal"/>
      <w:suff w:val="tab"/>
      <w:lvlText w:val="%1."/>
      <w:rPr>
        <w:color w:val="3370ff"/>
      </w:rPr>
    </w:lvl>
  </w:abstractNum>
  <w:abstractNum w:abstractNumId="51520">
    <w:lvl>
      <w:start w:val="2"/>
      <w:numFmt w:val="decimal"/>
      <w:suff w:val="tab"/>
      <w:lvlText w:val="%1."/>
      <w:rPr>
        <w:color w:val="3370ff"/>
      </w:rPr>
    </w:lvl>
  </w:abstractNum>
  <w:abstractNum w:abstractNumId="51521">
    <w:lvl>
      <w:start w:val="3"/>
      <w:numFmt w:val="decimal"/>
      <w:suff w:val="tab"/>
      <w:lvlText w:val="%1."/>
      <w:rPr>
        <w:color w:val="3370ff"/>
      </w:rPr>
    </w:lvl>
  </w:abstractNum>
  <w:abstractNum w:abstractNumId="51522">
    <w:lvl>
      <w:start w:val="4"/>
      <w:numFmt w:val="decimal"/>
      <w:suff w:val="tab"/>
      <w:lvlText w:val="%1."/>
      <w:rPr>
        <w:color w:val="3370ff"/>
      </w:rPr>
    </w:lvl>
  </w:abstractNum>
  <w:abstractNum w:abstractNumId="51523">
    <w:lvl>
      <w:start w:val="5"/>
      <w:numFmt w:val="decimal"/>
      <w:suff w:val="tab"/>
      <w:lvlText w:val="%1."/>
      <w:rPr>
        <w:color w:val="3370ff"/>
      </w:rPr>
    </w:lvl>
  </w:abstractNum>
  <w:abstractNum w:abstractNumId="51524">
    <w:lvl>
      <w:start w:val="6"/>
      <w:numFmt w:val="decimal"/>
      <w:suff w:val="tab"/>
      <w:lvlText w:val="%1."/>
      <w:rPr>
        <w:color w:val="3370ff"/>
      </w:rPr>
    </w:lvl>
  </w:abstractNum>
  <w:abstractNum w:abstractNumId="51525">
    <w:lvl>
      <w:start w:val="7"/>
      <w:numFmt w:val="decimal"/>
      <w:suff w:val="tab"/>
      <w:lvlText w:val="%1."/>
      <w:rPr>
        <w:color w:val="3370ff"/>
      </w:rPr>
    </w:lvl>
  </w:abstractNum>
  <w:abstractNum w:abstractNumId="51526">
    <w:lvl>
      <w:start w:val="8"/>
      <w:numFmt w:val="decimal"/>
      <w:suff w:val="tab"/>
      <w:lvlText w:val="%1."/>
      <w:rPr>
        <w:color w:val="3370ff"/>
      </w:rPr>
    </w:lvl>
  </w:abstractNum>
  <w:abstractNum w:abstractNumId="51527">
    <w:lvl>
      <w:numFmt w:val="bullet"/>
      <w:suff w:val="tab"/>
      <w:lvlText w:val="•"/>
      <w:rPr>
        <w:color w:val="3370ff"/>
      </w:rPr>
    </w:lvl>
  </w:abstractNum>
  <w:abstractNum w:abstractNumId="51528">
    <w:lvl>
      <w:numFmt w:val="bullet"/>
      <w:suff w:val="tab"/>
      <w:lvlText w:val="•"/>
      <w:rPr>
        <w:color w:val="3370ff"/>
      </w:rPr>
    </w:lvl>
  </w:abstractNum>
  <w:abstractNum w:abstractNumId="51529">
    <w:lvl>
      <w:numFmt w:val="bullet"/>
      <w:suff w:val="tab"/>
      <w:lvlText w:val="•"/>
      <w:rPr>
        <w:color w:val="3370ff"/>
      </w:rPr>
    </w:lvl>
  </w:abstractNum>
  <w:abstractNum w:abstractNumId="51530">
    <w:lvl>
      <w:numFmt w:val="bullet"/>
      <w:suff w:val="tab"/>
      <w:lvlText w:val="•"/>
      <w:rPr>
        <w:color w:val="3370ff"/>
      </w:rPr>
    </w:lvl>
  </w:abstractNum>
  <w:abstractNum w:abstractNumId="51531">
    <w:lvl>
      <w:numFmt w:val="bullet"/>
      <w:suff w:val="tab"/>
      <w:lvlText w:val="•"/>
      <w:rPr>
        <w:color w:val="3370ff"/>
      </w:rPr>
    </w:lvl>
  </w:abstractNum>
  <w:abstractNum w:abstractNumId="51532">
    <w:lvl>
      <w:numFmt w:val="bullet"/>
      <w:suff w:val="tab"/>
      <w:lvlText w:val="•"/>
      <w:rPr>
        <w:color w:val="3370ff"/>
      </w:rPr>
    </w:lvl>
  </w:abstractNum>
  <w:abstractNum w:abstractNumId="51533">
    <w:lvl>
      <w:numFmt w:val="bullet"/>
      <w:suff w:val="tab"/>
      <w:lvlText w:val="•"/>
      <w:rPr>
        <w:color w:val="3370ff"/>
      </w:rPr>
    </w:lvl>
  </w:abstractNum>
  <w:abstractNum w:abstractNumId="51534">
    <w:lvl>
      <w:numFmt w:val="bullet"/>
      <w:suff w:val="tab"/>
      <w:lvlText w:val="•"/>
      <w:rPr>
        <w:color w:val="3370ff"/>
      </w:rPr>
    </w:lvl>
  </w:abstractNum>
  <w:num w:numId="1">
    <w:abstractNumId w:val="51438"/>
  </w:num>
  <w:num w:numId="2">
    <w:abstractNumId w:val="51439"/>
  </w:num>
  <w:num w:numId="3">
    <w:abstractNumId w:val="51440"/>
  </w:num>
  <w:num w:numId="4">
    <w:abstractNumId w:val="51441"/>
  </w:num>
  <w:num w:numId="5">
    <w:abstractNumId w:val="51442"/>
  </w:num>
  <w:num w:numId="6">
    <w:abstractNumId w:val="51443"/>
  </w:num>
  <w:num w:numId="7">
    <w:abstractNumId w:val="51444"/>
  </w:num>
  <w:num w:numId="8">
    <w:abstractNumId w:val="51445"/>
  </w:num>
  <w:num w:numId="9">
    <w:abstractNumId w:val="51446"/>
  </w:num>
  <w:num w:numId="10">
    <w:abstractNumId w:val="51447"/>
  </w:num>
  <w:num w:numId="11">
    <w:abstractNumId w:val="51448"/>
  </w:num>
  <w:num w:numId="12">
    <w:abstractNumId w:val="51449"/>
  </w:num>
  <w:num w:numId="13">
    <w:abstractNumId w:val="51450"/>
  </w:num>
  <w:num w:numId="14">
    <w:abstractNumId w:val="51451"/>
  </w:num>
  <w:num w:numId="15">
    <w:abstractNumId w:val="51452"/>
  </w:num>
  <w:num w:numId="16">
    <w:abstractNumId w:val="51453"/>
  </w:num>
  <w:num w:numId="17">
    <w:abstractNumId w:val="51454"/>
  </w:num>
  <w:num w:numId="18">
    <w:abstractNumId w:val="51455"/>
  </w:num>
  <w:num w:numId="19">
    <w:abstractNumId w:val="51456"/>
  </w:num>
  <w:num w:numId="20">
    <w:abstractNumId w:val="51457"/>
  </w:num>
  <w:num w:numId="21">
    <w:abstractNumId w:val="51458"/>
  </w:num>
  <w:num w:numId="22">
    <w:abstractNumId w:val="51459"/>
  </w:num>
  <w:num w:numId="23">
    <w:abstractNumId w:val="51460"/>
  </w:num>
  <w:num w:numId="24">
    <w:abstractNumId w:val="51461"/>
  </w:num>
  <w:num w:numId="25">
    <w:abstractNumId w:val="51462"/>
  </w:num>
  <w:num w:numId="26">
    <w:abstractNumId w:val="51463"/>
  </w:num>
  <w:num w:numId="27">
    <w:abstractNumId w:val="51464"/>
  </w:num>
  <w:num w:numId="28">
    <w:abstractNumId w:val="51465"/>
  </w:num>
  <w:num w:numId="29">
    <w:abstractNumId w:val="51466"/>
  </w:num>
  <w:num w:numId="30">
    <w:abstractNumId w:val="51467"/>
  </w:num>
  <w:num w:numId="31">
    <w:abstractNumId w:val="51468"/>
  </w:num>
  <w:num w:numId="32">
    <w:abstractNumId w:val="51469"/>
  </w:num>
  <w:num w:numId="33">
    <w:abstractNumId w:val="51470"/>
  </w:num>
  <w:num w:numId="34">
    <w:abstractNumId w:val="51471"/>
  </w:num>
  <w:num w:numId="35">
    <w:abstractNumId w:val="51472"/>
  </w:num>
  <w:num w:numId="36">
    <w:abstractNumId w:val="51473"/>
  </w:num>
  <w:num w:numId="37">
    <w:abstractNumId w:val="51474"/>
  </w:num>
  <w:num w:numId="38">
    <w:abstractNumId w:val="51475"/>
  </w:num>
  <w:num w:numId="39">
    <w:abstractNumId w:val="51476"/>
  </w:num>
  <w:num w:numId="40">
    <w:abstractNumId w:val="51477"/>
  </w:num>
  <w:num w:numId="41">
    <w:abstractNumId w:val="51478"/>
  </w:num>
  <w:num w:numId="42">
    <w:abstractNumId w:val="51479"/>
  </w:num>
  <w:num w:numId="43">
    <w:abstractNumId w:val="51480"/>
  </w:num>
  <w:num w:numId="44">
    <w:abstractNumId w:val="51481"/>
  </w:num>
  <w:num w:numId="45">
    <w:abstractNumId w:val="51482"/>
  </w:num>
  <w:num w:numId="46">
    <w:abstractNumId w:val="51483"/>
  </w:num>
  <w:num w:numId="47">
    <w:abstractNumId w:val="51484"/>
  </w:num>
  <w:num w:numId="48">
    <w:abstractNumId w:val="51485"/>
  </w:num>
  <w:num w:numId="49">
    <w:abstractNumId w:val="51486"/>
  </w:num>
  <w:num w:numId="50">
    <w:abstractNumId w:val="51487"/>
  </w:num>
  <w:num w:numId="51">
    <w:abstractNumId w:val="51488"/>
  </w:num>
  <w:num w:numId="52">
    <w:abstractNumId w:val="51489"/>
  </w:num>
  <w:num w:numId="53">
    <w:abstractNumId w:val="51490"/>
  </w:num>
  <w:num w:numId="54">
    <w:abstractNumId w:val="51491"/>
  </w:num>
  <w:num w:numId="55">
    <w:abstractNumId w:val="51492"/>
  </w:num>
  <w:num w:numId="56">
    <w:abstractNumId w:val="51493"/>
  </w:num>
  <w:num w:numId="57">
    <w:abstractNumId w:val="51494"/>
  </w:num>
  <w:num w:numId="58">
    <w:abstractNumId w:val="51495"/>
  </w:num>
  <w:num w:numId="59">
    <w:abstractNumId w:val="51496"/>
  </w:num>
  <w:num w:numId="60">
    <w:abstractNumId w:val="51497"/>
  </w:num>
  <w:num w:numId="61">
    <w:abstractNumId w:val="51498"/>
  </w:num>
  <w:num w:numId="62">
    <w:abstractNumId w:val="51499"/>
  </w:num>
  <w:num w:numId="63">
    <w:abstractNumId w:val="51500"/>
  </w:num>
  <w:num w:numId="64">
    <w:abstractNumId w:val="51501"/>
  </w:num>
  <w:num w:numId="65">
    <w:abstractNumId w:val="51502"/>
  </w:num>
  <w:num w:numId="66">
    <w:abstractNumId w:val="51503"/>
  </w:num>
  <w:num w:numId="67">
    <w:abstractNumId w:val="51504"/>
  </w:num>
  <w:num w:numId="68">
    <w:abstractNumId w:val="51505"/>
  </w:num>
  <w:num w:numId="69">
    <w:abstractNumId w:val="51506"/>
  </w:num>
  <w:num w:numId="70">
    <w:abstractNumId w:val="51507"/>
  </w:num>
  <w:num w:numId="71">
    <w:abstractNumId w:val="51508"/>
  </w:num>
  <w:num w:numId="72">
    <w:abstractNumId w:val="51509"/>
  </w:num>
  <w:num w:numId="73">
    <w:abstractNumId w:val="51510"/>
  </w:num>
  <w:num w:numId="74">
    <w:abstractNumId w:val="51511"/>
  </w:num>
  <w:num w:numId="75">
    <w:abstractNumId w:val="51512"/>
  </w:num>
  <w:num w:numId="76">
    <w:abstractNumId w:val="51513"/>
  </w:num>
  <w:num w:numId="77">
    <w:abstractNumId w:val="51514"/>
  </w:num>
  <w:num w:numId="78">
    <w:abstractNumId w:val="51515"/>
  </w:num>
  <w:num w:numId="79">
    <w:abstractNumId w:val="51516"/>
  </w:num>
  <w:num w:numId="80">
    <w:abstractNumId w:val="51517"/>
  </w:num>
  <w:num w:numId="81">
    <w:abstractNumId w:val="51518"/>
  </w:num>
  <w:num w:numId="82">
    <w:abstractNumId w:val="51519"/>
  </w:num>
  <w:num w:numId="83">
    <w:abstractNumId w:val="51520"/>
  </w:num>
  <w:num w:numId="84">
    <w:abstractNumId w:val="51521"/>
  </w:num>
  <w:num w:numId="85">
    <w:abstractNumId w:val="51522"/>
  </w:num>
  <w:num w:numId="86">
    <w:abstractNumId w:val="51523"/>
  </w:num>
  <w:num w:numId="87">
    <w:abstractNumId w:val="51524"/>
  </w:num>
  <w:num w:numId="88">
    <w:abstractNumId w:val="51525"/>
  </w:num>
  <w:num w:numId="89">
    <w:abstractNumId w:val="51526"/>
  </w:num>
  <w:num w:numId="90">
    <w:abstractNumId w:val="51527"/>
  </w:num>
  <w:num w:numId="91">
    <w:abstractNumId w:val="51528"/>
  </w:num>
  <w:num w:numId="92">
    <w:abstractNumId w:val="51529"/>
  </w:num>
  <w:num w:numId="93">
    <w:abstractNumId w:val="51530"/>
  </w:num>
  <w:num w:numId="94">
    <w:abstractNumId w:val="51531"/>
  </w:num>
  <w:num w:numId="95">
    <w:abstractNumId w:val="51532"/>
  </w:num>
  <w:num w:numId="96">
    <w:abstractNumId w:val="51533"/>
  </w:num>
  <w:num w:numId="97">
    <w:abstractNumId w:val="515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embeddings/Microsoft_Excel_Worksheet8.xlsx" Type="http://schemas.openxmlformats.org/officeDocument/2006/relationships/package"/><Relationship Id="rId2" Target="styles.xml" Type="http://schemas.openxmlformats.org/officeDocument/2006/relationships/styles"/><Relationship Id="rId20" Target="media/image8.png" Type="http://schemas.openxmlformats.org/officeDocument/2006/relationships/image"/><Relationship Id="rId21" Target="embeddings/Microsoft_Excel_Worksheet9.xlsx" Type="http://schemas.openxmlformats.org/officeDocument/2006/relationships/package"/><Relationship Id="rId22" Target="media/image9.png" Type="http://schemas.openxmlformats.org/officeDocument/2006/relationships/image"/><Relationship Id="rId23" Target="header1.xml" Type="http://schemas.openxmlformats.org/officeDocument/2006/relationships/header"/><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numbering.xml" Type="http://schemas.openxmlformats.org/officeDocument/2006/relationships/numbering"/><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2026-08-07T08:33:42Z</dcterms:created>
  <dc:creator>Apache POI</dc:creator>
</cp:coreProperties>
</file>