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Dalson Industrial Supplies — Lens Alignment Report (v4)</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2026-07-31</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https://eg69120xnei.sg.larksuite.com/wiki/I86uwtbJ9iE7gwk5ZfvltCPTgph</w:t>
        </w:r>
      </w:hyperlink>
      <w:bookmarkEnd w:id="0"/>
    </w:p>
    <w:p>
      <w:pPr>
        <w:spacing w:before="120" w:after="120" w:line="288" w:lineRule="auto"/>
        <w:ind w:left="0"/>
        <w:jc w:val="left"/>
      </w:pPr>
      <w:r>
        <w:rPr>
          <w:rFonts w:eastAsia="等线" w:ascii="Arial" w:cs="Arial" w:hAnsi="Arial"/>
          <w:sz w:val="22"/>
        </w:rPr>
        <w:t>Re-run following: Scope Lock v2 SL-13 reconciliation pass (2026-07-31 — confidence HIGH→MED, reverted to "quotation stays MAIA-only," Supersessions Log S8) + new NEEDS SCOPING row 12 (Cash Sales Invoice, confirmed blocking gap). Previous report (v3, 2026-07-19/22) closed out clean — this rerun checks whether that alignment survived the SL-13 reconciliation and the cash-sales addition.</w:t>
      </w:r>
    </w:p>
    <w:p>
      <w:pPr>
        <w:pStyle w:val="2"/>
        <w:spacing w:before="320" w:after="120" w:line="288" w:lineRule="auto"/>
        <w:ind w:left="0"/>
        <w:jc w:val="left"/>
        <w:outlineLvl w:val="1"/>
      </w:pPr>
      <w:bookmarkStart w:name="heading_1" w:id="1"/>
      <w:r>
        <w:rPr>
          <w:rFonts w:eastAsia="等线" w:ascii="Arial" w:cs="Arial" w:hAnsi="Arial"/>
          <w:b w:val="true"/>
          <w:sz w:val="32"/>
        </w:rPr>
        <w:t>1. Version Ledger</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950"/>
        <w:gridCol w:w="1785"/>
        <w:gridCol w:w="1605"/>
        <w:gridCol w:w="138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touched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 vs spine?</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v2</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SL-ids status-current + 1 new NEEDS-SCOPING row (12) + 1 BLOCKING item</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2026-07-31 (SL-13 reconciliation, S8)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vs After MAIA &amp; E2E Flow</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2026-07-31 (hand-corrected to match SL-13 reconciliation)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Second-newest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Aligned</w:t>
            </w:r>
            <w:r>
              <w:rPr>
                <w:rFonts w:eastAsia="等线" w:ascii="Arial" w:cs="Arial" w:hAnsi="Arial"/>
                <w:sz w:val="22"/>
              </w:rPr>
              <w:t xml:space="preserve"> — corrected same day</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Consolidated Overview</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2026-07-31 (hand-corrected to match)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Second-newest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Aligned</w:t>
            </w:r>
            <w:r>
              <w:rPr>
                <w:rFonts w:eastAsia="等线" w:ascii="Arial" w:cs="Arial" w:hAnsi="Arial"/>
                <w:sz w:val="22"/>
              </w:rPr>
              <w:t xml:space="preserve"> — corrected same day</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End-user &amp; Process Map</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2026-07-20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affected by SL-13/cash-sales — no drift found</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Checklist</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 (per header)</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Stale on SL-13 confidence; missing cash-sales gap entirely</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Extraction</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 + inline updates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2026-07-19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Stale on SL-13 confidence (still says HIGH)</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Alignment Scorecard</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895"/>
        <w:gridCol w:w="3135"/>
        <w:gridCol w:w="135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Pair</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findings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 VoC</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DRIFT (confidence label only, not fact)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 UAT Checklist</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DRIFT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 Process Map</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ALIGNED</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 Process Map</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ALIGNED (no change since v3)</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Cross-status consistency</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table below</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mover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Gaps &amp; Dependencies</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 &amp; freshness</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DRIFT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 VoC both predate 2026-07-31 rerun</w:t>
            </w:r>
          </w:p>
        </w:tc>
      </w:tr>
    </w:tbl>
    <w:p>
      <w:pPr>
        <w:spacing w:before="120" w:after="120" w:line="288" w:lineRule="auto"/>
        <w:ind w:left="0"/>
        <w:jc w:val="left"/>
      </w:pPr>
      <w:r>
        <w:rPr>
          <w:rFonts w:eastAsia="等线" w:ascii="Arial" w:cs="Arial" w:hAnsi="Arial"/>
          <w:sz w:val="22"/>
        </w:rPr>
        <w:t>Much smaller blast radius than v3 — the spine move this cycle was narrow (one item's confidence + one new gap), not a full rerun.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3. Cross-Status Table (Check E) — the mover</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1455"/>
        <w:gridCol w:w="1650"/>
        <w:gridCol w:w="1890"/>
        <w:gridCol w:w="1290"/>
        <w:gridCol w:w="1185"/>
      </w:tblGrid>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v2 says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says</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says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Map says</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stage reinterpreted (quotation destination)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(SUPERSEDED), </w:t>
            </w:r>
            <w:r>
              <w:rPr>
                <w:rFonts w:eastAsia="等线" w:ascii="Arial" w:cs="Arial" w:hAnsi="Arial"/>
                <w:b w:val="true"/>
                <w:sz w:val="22"/>
              </w:rPr>
              <w:t>confidence MED</w:t>
            </w:r>
            <w:r>
              <w:rPr>
                <w:rFonts w:eastAsia="等线" w:ascii="Arial" w:cs="Arial" w:hAnsi="Arial"/>
                <w:sz w:val="22"/>
              </w:rPr>
              <w:t xml:space="preserve"> (downgraded 2026-07-31, pending attributed re-verification)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says "</w:t>
            </w:r>
            <w:r>
              <w:rPr>
                <w:rFonts w:eastAsia="等线" w:ascii="Arial" w:cs="Arial" w:hAnsi="Arial"/>
                <w:b w:val="true"/>
                <w:sz w:val="22"/>
              </w:rPr>
              <w:t>HIGH confidence</w:t>
            </w:r>
            <w:r>
              <w:rPr>
                <w:rFonts w:eastAsia="等线" w:ascii="Arial" w:cs="Arial" w:hAnsi="Arial"/>
                <w:sz w:val="22"/>
              </w:rPr>
              <w:t>" (Phase 6 item 2, Stated-vs-Revealed table) — unchanged since 2026-07-19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says "</w:t>
            </w:r>
            <w:r>
              <w:rPr>
                <w:rFonts w:eastAsia="等线" w:ascii="Arial" w:cs="Arial" w:hAnsi="Arial"/>
                <w:b w:val="true"/>
                <w:sz w:val="22"/>
              </w:rPr>
              <w:t>confidence HIGH</w:t>
            </w:r>
            <w:r>
              <w:rPr>
                <w:rFonts w:eastAsia="等线" w:ascii="Arial" w:cs="Arial" w:hAnsi="Arial"/>
                <w:sz w:val="22"/>
              </w:rPr>
              <w:t>" in the SL-13 section header (2026-07-19) — but the actual test steps (HP-11, UP-22, UP-23) already correctly test "stays in MAIA only," so behavior coverage is fine, only the confidence label is wrong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referenced by confidence level — no drift</w:t>
            </w:r>
          </w:p>
        </w:tc>
      </w:tr>
    </w:tbl>
    <w:p>
      <w:pPr>
        <w:spacing w:before="120" w:after="120" w:line="288" w:lineRule="auto"/>
        <w:ind w:left="0"/>
        <w:jc w:val="left"/>
      </w:pPr>
      <w:r>
        <w:rPr>
          <w:rFonts w:eastAsia="等线" w:ascii="Arial" w:cs="Arial" w:hAnsi="Arial"/>
          <w:sz w:val="22"/>
        </w:rPr>
        <w:t xml:space="preserve">The underlying </w:t>
      </w:r>
      <w:r>
        <w:rPr>
          <w:rFonts w:eastAsia="等线" w:ascii="Arial" w:cs="Arial" w:hAnsi="Arial"/>
          <w:i w:val="true"/>
          <w:sz w:val="22"/>
        </w:rPr>
        <w:t>behavior</w:t>
      </w:r>
      <w:r>
        <w:rPr>
          <w:rFonts w:eastAsia="等线" w:ascii="Arial" w:cs="Arial" w:hAnsi="Arial"/>
          <w:sz w:val="22"/>
        </w:rPr>
        <w:t xml:space="preserve"> description (quotation/SO-equivalent stays in MAIA only) is consistent across all four docs — only the confidence label lagged in VoC and UAT.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4. Orphans</w:t>
      </w:r>
      <w:bookmarkEnd w:id="4"/>
    </w:p>
    <w:p>
      <w:pPr>
        <w:spacing w:before="120" w:after="120" w:line="288" w:lineRule="auto"/>
        <w:ind w:left="0"/>
        <w:jc w:val="left"/>
      </w:pPr>
      <w:r>
        <w:rPr>
          <w:rFonts w:eastAsia="等线" w:ascii="Arial" w:cs="Arial" w:hAnsi="Arial"/>
          <w:b w:val="true"/>
          <w:sz w:val="22"/>
        </w:rPr>
        <w:t>In scope, not tested/mapped:</w:t>
      </w:r>
      <w:r>
        <w:rPr>
          <w:rFonts w:eastAsia="等线" w:ascii="Arial" w:cs="Arial" w:hAnsi="Arial"/>
          <w:sz w:val="22"/>
        </w:rPr>
        <w:t xml:space="preserve"> none new.</w:t>
      </w:r>
    </w:p>
    <w:p>
      <w:pPr>
        <w:spacing w:before="120" w:after="120" w:line="288" w:lineRule="auto"/>
        <w:ind w:left="0"/>
        <w:jc w:val="left"/>
      </w:pPr>
      <w:r>
        <w:rPr>
          <w:rFonts w:eastAsia="等线" w:ascii="Arial" w:cs="Arial" w:hAnsi="Arial"/>
          <w:b w:val="true"/>
          <w:sz w:val="22"/>
        </w:rPr>
        <w:t>Tested/mapped, not in scope:</w:t>
      </w:r>
      <w:r>
        <w:rPr>
          <w:rFonts w:eastAsia="等线" w:ascii="Arial" w:cs="Arial" w:hAnsi="Arial"/>
          <w:sz w:val="22"/>
        </w:rPr>
        <w:t xml:space="preserve"> none.</w:t>
      </w:r>
    </w:p>
    <w:p>
      <w:pPr>
        <w:spacing w:before="120" w:after="120" w:line="288" w:lineRule="auto"/>
        <w:ind w:left="0"/>
        <w:jc w:val="left"/>
      </w:pPr>
      <w:r>
        <w:rPr>
          <w:rFonts w:eastAsia="等线" w:ascii="Arial" w:cs="Arial" w:hAnsi="Arial"/>
          <w:b w:val="true"/>
          <w:sz w:val="22"/>
        </w:rPr>
        <w:t>VoC signal, no home:Cash Sales Invoice gap</w:t>
      </w:r>
      <w:r>
        <w:rPr>
          <w:rFonts w:eastAsia="等线" w:ascii="Arial" w:cs="Arial" w:hAnsi="Arial"/>
          <w:sz w:val="22"/>
        </w:rPr>
        <w:t xml:space="preserve"> (Needs-Scoping Register row 12) has no VoC-ID and doesn't trace to the original client corpus — it surfaced from an internal Mindhive dev standup (Fireflies, 2026-07-31), then was separately confirmed with the client. This is expected (not every scope gap originates in VoC), but it means UAT's 4b Excluded table and the Process Map should still carry it as a known gap so it isn't lost — currently </w:t>
      </w:r>
      <w:r>
        <w:rPr>
          <w:rFonts w:eastAsia="等线" w:ascii="Arial" w:cs="Arial" w:hAnsi="Arial"/>
          <w:b w:val="true"/>
          <w:sz w:val="22"/>
        </w:rPr>
        <w:t>absent from both</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5. Drift Table</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080"/>
        <w:gridCol w:w="1125"/>
        <w:gridCol w:w="1815"/>
        <w:gridCol w:w="720"/>
        <w:gridCol w:w="1395"/>
        <w:gridCol w:w="145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 A says</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 B says</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Verdict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fix</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 confidence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MED (downgraded 2026-07-31)</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(Phase 6 item 2, Stated-vs-Revealed): "Locked at HIGH confidence"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 stale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both VoC mentions to MED, note the pending live re-verification</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 confidence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MED</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Step 1 + Step 3 SL-13 header: "confidence HIGH (upgraded 2026-07-19)"</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stale (label only — test steps already correct)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the confidence label to MED; no change needed to HP-11/UP-22/UP-23 steps themselves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Sales Invoice gap</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NEEDS SCOPING, BLOCKING (row 12, confirmed 2026-07-31)</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4b Excluded table: not listed at all</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F</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gap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 a row to 4b: "Cash Sales Invoice support — NEEDS SCOPING, BLOCKING, confirmed 2026-07-31, not yet sized"</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Sales Invoice gap</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confirmed blocking gap</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Map: no mention</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Informational, not urgent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 role/process yet since it's unbuilt — worth a one-line footnote in the Process Map's gaps section so it isn't forgotten, but doesn't block anything today</w:t>
            </w:r>
          </w:p>
        </w:tc>
      </w:tr>
    </w:tbl>
    <w:p>
      <w:pPr>
        <w:spacing w:before="120" w:after="120" w:line="288" w:lineRule="auto"/>
        <w:ind w:left="0"/>
        <w:jc w:val="left"/>
      </w:pPr>
      <w:r>
        <w:rPr>
          <w:rFonts w:eastAsia="等线" w:ascii="Arial" w:cs="Arial" w:hAnsi="Arial"/>
          <w:sz w:val="22"/>
        </w:rPr>
        <w:t>No hard factual contradictions — everything here is a confidence-label lag or a missing footnote, not a broken build assumption.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6. Fix List (ordered by blast radius)</w:t>
      </w:r>
      <w:bookmarkEnd w:id="6"/>
    </w:p>
    <w:p>
      <w:pPr>
        <w:numPr>
          <w:numId w:val="1"/>
        </w:numPr>
        <w:spacing w:before="120" w:after="120" w:line="288" w:lineRule="auto"/>
        <w:ind w:left="0"/>
        <w:jc w:val="left"/>
      </w:pPr>
      <w:r>
        <w:rPr>
          <w:rFonts w:eastAsia="等线" w:ascii="Arial" w:cs="Arial" w:hAnsi="Arial"/>
          <w:b w:val="true"/>
          <w:sz w:val="22"/>
        </w:rPr>
        <w:t>[UAT Checklist]</w:t>
      </w:r>
      <w:r>
        <w:rPr>
          <w:rFonts w:eastAsia="等线" w:ascii="Arial" w:cs="Arial" w:hAnsi="Arial"/>
          <w:sz w:val="22"/>
        </w:rPr>
        <w:t xml:space="preserve"> SL-13 section header + Step 1 table: change confidence HIGH → MED, add one line noting the 2026-07-31 reconciliation and pending re-verification. Test steps (HP-11/UP-22/UP-23) need no change — they already test the correct ("MAIA-only") behavior.</w:t>
      </w:r>
    </w:p>
    <w:p>
      <w:pPr>
        <w:numPr>
          <w:numId w:val="2"/>
        </w:numPr>
        <w:spacing w:before="120" w:after="120" w:line="288" w:lineRule="auto"/>
        <w:ind w:left="0"/>
        <w:jc w:val="left"/>
      </w:pPr>
      <w:r>
        <w:rPr>
          <w:rFonts w:eastAsia="等线" w:ascii="Arial" w:cs="Arial" w:hAnsi="Arial"/>
          <w:b w:val="true"/>
          <w:sz w:val="22"/>
        </w:rPr>
        <w:t>[UAT Checklist]</w:t>
      </w:r>
      <w:r>
        <w:rPr>
          <w:rFonts w:eastAsia="等线" w:ascii="Arial" w:cs="Arial" w:hAnsi="Arial"/>
          <w:sz w:val="22"/>
        </w:rPr>
        <w:t xml:space="preserve"> Add a row to 4b (Excluded) for the Cash Sales Invoice gap — NEEDS SCOPING, BLOCKING, not yet sized.</w:t>
      </w:r>
    </w:p>
    <w:p>
      <w:pPr>
        <w:numPr>
          <w:numId w:val="3"/>
        </w:numPr>
        <w:spacing w:before="120" w:after="120" w:line="288" w:lineRule="auto"/>
        <w:ind w:left="0"/>
        <w:jc w:val="left"/>
      </w:pPr>
      <w:r>
        <w:rPr>
          <w:rFonts w:eastAsia="等线" w:ascii="Arial" w:cs="Arial" w:hAnsi="Arial"/>
          <w:b w:val="true"/>
          <w:sz w:val="22"/>
        </w:rPr>
        <w:t>[VoC Extraction]</w:t>
      </w:r>
      <w:r>
        <w:rPr>
          <w:rFonts w:eastAsia="等线" w:ascii="Arial" w:cs="Arial" w:hAnsi="Arial"/>
          <w:sz w:val="22"/>
        </w:rPr>
        <w:t xml:space="preserve"> Phase 6 item 2 and the Stated-vs-Revealed table: change "Locked at HIGH confidence" → "Locked at MED confidence, pending re-verification."</w:t>
      </w:r>
    </w:p>
    <w:p>
      <w:pPr>
        <w:numPr>
          <w:numId w:val="4"/>
        </w:numPr>
        <w:spacing w:before="120" w:after="120" w:line="288" w:lineRule="auto"/>
        <w:ind w:left="0"/>
        <w:jc w:val="left"/>
      </w:pPr>
      <w:r>
        <w:rPr>
          <w:rFonts w:eastAsia="等线" w:ascii="Arial" w:cs="Arial" w:hAnsi="Arial"/>
          <w:b w:val="true"/>
          <w:sz w:val="22"/>
        </w:rPr>
        <w:t>[End-user &amp; Process Map]</w:t>
      </w:r>
      <w:r>
        <w:rPr>
          <w:rFonts w:eastAsia="等线" w:ascii="Arial" w:cs="Arial" w:hAnsi="Arial"/>
          <w:sz w:val="22"/>
        </w:rPr>
        <w:t xml:space="preserve"> Optional — add a one-line footnote noting the cash-sales gap exists and is unscoped, so it's visible before UAT execution planning.</w:t>
      </w:r>
    </w:p>
    <w:p>
      <w:pPr>
        <w:spacing w:before="120" w:after="120" w:line="288" w:lineRule="auto"/>
        <w:ind w:left="0"/>
        <w:jc w:val="left"/>
      </w:pPr>
      <w:r>
        <w:rPr>
          <w:rFonts w:eastAsia="等线" w:ascii="Arial" w:cs="Arial" w:hAnsi="Arial"/>
          <w:sz w:val="22"/>
        </w:rPr>
        <w:t>Items 1–3 are small, single-line edits — no structural rework needed this cycle.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7. Verdict</w:t>
      </w:r>
      <w:bookmarkEnd w:id="7"/>
    </w:p>
    <w:p>
      <w:pPr>
        <w:spacing w:before="120" w:after="120" w:line="288" w:lineRule="auto"/>
        <w:ind w:left="0"/>
        <w:jc w:val="left"/>
      </w:pPr>
      <w:r>
        <w:rPr>
          <w:rFonts w:eastAsia="等线" w:ascii="Arial" w:cs="Arial" w:hAnsi="Arial"/>
          <w:b w:val="true"/>
          <w:sz w:val="22"/>
        </w:rPr>
        <w:t>DRIFT — 4 fixes before Gate-2</w:t>
      </w:r>
      <w:r>
        <w:rPr>
          <w:rFonts w:eastAsia="等线" w:ascii="Arial" w:cs="Arial" w:hAnsi="Arial"/>
          <w:sz w:val="22"/>
        </w:rPr>
        <w:t>, all low blast-radius (confidence-label lag in 2 docs, one missing gap-footnote in each of 2 docs). No hard contradictions, no orphaned VoC signals, no broken test coverage — this is the cleanest rerun so far for this account. Before/After E2E Flow doc and Consolidated Overview are both already aligned with the spine (hand-corrected same day as the Scope Lock rerun). Safe to apply the 4 fixes above and move on; none of them block anything currently in flight.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See Also</w:t>
      </w:r>
      <w:bookmarkEnd w:id="8"/>
    </w:p>
    <w:p>
      <w:pPr>
        <w:numPr>
          <w:numId w:val="5"/>
        </w:numPr>
        <w:spacing w:before="120" w:after="120" w:line="288" w:lineRule="auto"/>
        <w:ind w:left="0"/>
        <w:jc w:val="left"/>
      </w:pPr>
      <w:r>
        <w:rPr>
          <w:rFonts w:eastAsia="等线" w:ascii="Arial" w:cs="Arial" w:hAnsi="Arial"/>
          <w:sz w:val="22"/>
        </w:rPr>
        <w:t>[[Dalson — VoC Extraction]]</w:t>
      </w:r>
    </w:p>
    <w:p>
      <w:pPr>
        <w:numPr>
          <w:numId w:val="6"/>
        </w:numPr>
        <w:spacing w:before="120" w:after="120" w:line="288" w:lineRule="auto"/>
        <w:ind w:left="0"/>
        <w:jc w:val="left"/>
      </w:pPr>
      <w:r>
        <w:rPr>
          <w:rFonts w:eastAsia="等线" w:ascii="Arial" w:cs="Arial" w:hAnsi="Arial"/>
          <w:sz w:val="22"/>
        </w:rPr>
        <w:t>[[Dalson — UAT Checklist]]</w:t>
      </w:r>
    </w:p>
    <w:p>
      <w:pPr>
        <w:numPr>
          <w:numId w:val="7"/>
        </w:numPr>
        <w:spacing w:before="120" w:after="120" w:line="288" w:lineRule="auto"/>
        <w:ind w:left="0"/>
        <w:jc w:val="left"/>
      </w:pPr>
      <w:r>
        <w:rPr>
          <w:rFonts w:eastAsia="等线" w:ascii="Arial" w:cs="Arial" w:hAnsi="Arial"/>
          <w:sz w:val="22"/>
        </w:rPr>
        <w:t>[[Dalson — End-user &amp; Process Map]]</w:t>
      </w:r>
    </w:p>
    <w:p>
      <w:pPr>
        <w:numPr>
          <w:numId w:val="8"/>
        </w:numPr>
        <w:spacing w:before="120" w:after="120" w:line="288" w:lineRule="auto"/>
        <w:ind w:left="0"/>
        <w:jc w:val="left"/>
      </w:pPr>
      <w:r>
        <w:rPr>
          <w:rFonts w:eastAsia="等线" w:ascii="Arial" w:cs="Arial" w:hAnsi="Arial"/>
          <w:sz w:val="22"/>
        </w:rPr>
        <w:t>[[Dalson — Before vs After MAIA and E2E Flow]]</w:t>
      </w:r>
    </w:p>
    <w:p>
      <w:pPr>
        <w:numPr>
          <w:numId w:val="9"/>
        </w:numPr>
        <w:spacing w:before="120" w:after="120" w:line="288" w:lineRule="auto"/>
        <w:ind w:left="0"/>
        <w:jc w:val="left"/>
      </w:pPr>
      <w:r>
        <w:rPr>
          <w:rFonts w:eastAsia="等线" w:ascii="Arial" w:cs="Arial" w:hAnsi="Arial"/>
          <w:sz w:val="22"/>
        </w:rPr>
        <w:t>[[Dalson — Consolidated Overview]]</w:t>
      </w:r>
    </w:p>
    <w:p>
      <w:pPr>
        <w:numPr>
          <w:numId w:val="10"/>
        </w:numPr>
        <w:spacing w:before="120" w:after="120" w:line="288" w:lineRule="auto"/>
        <w:ind w:left="0"/>
        <w:jc w:val="left"/>
      </w:pPr>
      <w:r>
        <w:rPr>
          <w:rFonts w:eastAsia="等线" w:ascii="Arial" w:cs="Arial" w:hAnsi="Arial"/>
          <w:sz w:val="22"/>
        </w:rPr>
        <w:t>Scope Lock v2 — Dalson Industrial Supplies (Lark)</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0109">
    <w:lvl>
      <w:start w:val="1"/>
      <w:numFmt w:val="decimal"/>
      <w:suff w:val="tab"/>
      <w:lvlText w:val="%1."/>
      <w:rPr>
        <w:color w:val="3370ff"/>
      </w:rPr>
    </w:lvl>
  </w:abstractNum>
  <w:abstractNum w:abstractNumId="290110">
    <w:lvl>
      <w:start w:val="2"/>
      <w:numFmt w:val="decimal"/>
      <w:suff w:val="tab"/>
      <w:lvlText w:val="%1."/>
      <w:rPr>
        <w:color w:val="3370ff"/>
      </w:rPr>
    </w:lvl>
  </w:abstractNum>
  <w:abstractNum w:abstractNumId="290111">
    <w:lvl>
      <w:start w:val="3"/>
      <w:numFmt w:val="decimal"/>
      <w:suff w:val="tab"/>
      <w:lvlText w:val="%1."/>
      <w:rPr>
        <w:color w:val="3370ff"/>
      </w:rPr>
    </w:lvl>
  </w:abstractNum>
  <w:abstractNum w:abstractNumId="290112">
    <w:lvl>
      <w:start w:val="4"/>
      <w:numFmt w:val="decimal"/>
      <w:suff w:val="tab"/>
      <w:lvlText w:val="%1."/>
      <w:rPr>
        <w:color w:val="3370ff"/>
      </w:rPr>
    </w:lvl>
  </w:abstractNum>
  <w:abstractNum w:abstractNumId="290113">
    <w:lvl>
      <w:numFmt w:val="bullet"/>
      <w:suff w:val="tab"/>
      <w:lvlText w:val="•"/>
      <w:rPr>
        <w:color w:val="3370ff"/>
      </w:rPr>
    </w:lvl>
  </w:abstractNum>
  <w:abstractNum w:abstractNumId="290114">
    <w:lvl>
      <w:numFmt w:val="bullet"/>
      <w:suff w:val="tab"/>
      <w:lvlText w:val="•"/>
      <w:rPr>
        <w:color w:val="3370ff"/>
      </w:rPr>
    </w:lvl>
  </w:abstractNum>
  <w:abstractNum w:abstractNumId="290115">
    <w:lvl>
      <w:numFmt w:val="bullet"/>
      <w:suff w:val="tab"/>
      <w:lvlText w:val="•"/>
      <w:rPr>
        <w:color w:val="3370ff"/>
      </w:rPr>
    </w:lvl>
  </w:abstractNum>
  <w:abstractNum w:abstractNumId="290116">
    <w:lvl>
      <w:numFmt w:val="bullet"/>
      <w:suff w:val="tab"/>
      <w:lvlText w:val="•"/>
      <w:rPr>
        <w:color w:val="3370ff"/>
      </w:rPr>
    </w:lvl>
  </w:abstractNum>
  <w:abstractNum w:abstractNumId="290117">
    <w:lvl>
      <w:numFmt w:val="bullet"/>
      <w:suff w:val="tab"/>
      <w:lvlText w:val="•"/>
      <w:rPr>
        <w:color w:val="3370ff"/>
      </w:rPr>
    </w:lvl>
  </w:abstractNum>
  <w:abstractNum w:abstractNumId="290118">
    <w:lvl>
      <w:numFmt w:val="bullet"/>
      <w:suff w:val="tab"/>
      <w:lvlText w:val="•"/>
      <w:rPr>
        <w:color w:val="3370ff"/>
      </w:rPr>
    </w:lvl>
  </w:abstractNum>
  <w:num w:numId="1">
    <w:abstractNumId w:val="290109"/>
  </w:num>
  <w:num w:numId="2">
    <w:abstractNumId w:val="290110"/>
  </w:num>
  <w:num w:numId="3">
    <w:abstractNumId w:val="290111"/>
  </w:num>
  <w:num w:numId="4">
    <w:abstractNumId w:val="290112"/>
  </w:num>
  <w:num w:numId="5">
    <w:abstractNumId w:val="290113"/>
  </w:num>
  <w:num w:numId="6">
    <w:abstractNumId w:val="290114"/>
  </w:num>
  <w:num w:numId="7">
    <w:abstractNumId w:val="290115"/>
  </w:num>
  <w:num w:numId="8">
    <w:abstractNumId w:val="290116"/>
  </w:num>
  <w:num w:numId="9">
    <w:abstractNumId w:val="290117"/>
  </w:num>
  <w:num w:numId="10">
    <w:abstractNumId w:val="2901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I86uwtbJ9iE7gwk5ZfvltCPTgph"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2026-08-06T18:04:04Z</dcterms:created>
  <dc:creator>Apache POI</dc:creator>
</cp:coreProperties>
</file>