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Dalson Industrial Supplies — UAT Checklist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owner: Gareth</w:t>
        <w:br/>
        <w:t>status: draft</w:t>
        <w:br/>
        <w:t>last_reviewed: 2026-07-31</w:t>
        <w:br/>
      </w:r>
      <w:r>
        <w:rPr>
          <w:rFonts w:eastAsia="等线" w:ascii="Arial" w:cs="Arial" w:hAnsi="Arial"/>
          <w:b w:val="true"/>
          <w:sz w:val="32"/>
        </w:rPr>
        <w:t xml:space="preserve">lark_url: </w:t>
      </w:r>
      <w:hyperlink r:id="rId4">
        <w:r>
          <w:rPr>
            <w:rFonts w:eastAsia="等线" w:ascii="Arial" w:cs="Arial" w:hAnsi="Arial"/>
            <w:b w:val="true"/>
            <w:color w:val="3370ff"/>
            <w:sz w:val="32"/>
          </w:rPr>
          <w:t>https://eg69120xnei.sg.larksuite.com/wiki/L5E8wsDWHilVDkku64ZlmHxSgGd</w:t>
        </w:r>
      </w:hyperlink>
      <w:bookmarkEnd w:id="0"/>
    </w:p>
    <w:p>
      <w:pPr>
        <w:spacing w:before="120" w:after="120" w:line="288" w:lineRule="auto"/>
        <w:ind w:left="0"/>
        <w:jc w:val="left"/>
      </w:pPr>
      <w:r>
        <w:rPr>
          <w:rFonts w:eastAsia="等线" w:ascii="Arial" w:cs="Arial" w:hAnsi="Arial"/>
          <w:sz w:val="22"/>
        </w:rPr>
        <w:t>Sources: Scope Lock v2 (rerun 2026-07-14, SL-11 promoted 2026-07-19) · VoC Extraction · Dalson Industrial Supplies Customer Narrative Document (used for realistic test data/roles only — vendor voice, not scope authority).</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Regenerated 2026-07-19</w:t>
            </w:r>
            <w:r>
              <w:rPr>
                <w:rFonts w:eastAsia="等线" w:ascii="Arial" w:cs="Arial" w:hAnsi="Arial"/>
                <w:color w:val="646a73"/>
                <w:sz w:val="22"/>
              </w:rPr>
              <w:t xml:space="preserve"> per Lens Alignment Report v3 — this doc predated the entire Scope Lock v2 rerun. Fixes applied: SL-12 numbering collision resolved, SL-11/SL-13/SL-17 status + coverage added, SL-10 reworded, verdict recomputed.</w:t>
              <w:br/>
            </w:r>
            <w:r>
              <w:rPr>
                <w:rFonts w:eastAsia="等线" w:ascii="Arial" w:cs="Arial" w:hAnsi="Arial"/>
                <w:b w:val="true"/>
                <w:color w:val="646a73"/>
                <w:sz w:val="22"/>
              </w:rPr>
              <w:t>Updated 2026-07-22</w:t>
            </w:r>
            <w:r>
              <w:rPr>
                <w:rFonts w:eastAsia="等线" w:ascii="Arial" w:cs="Arial" w:hAnsi="Arial"/>
                <w:color w:val="646a73"/>
                <w:sz w:val="22"/>
              </w:rPr>
              <w:t xml:space="preserve"> — SL-10 (Pricing logic) promoted to LOCKED per Scope Lock v2 (owner confirmed both open mechanics: price-history reference + standard-price fallback). Moved from excluded to tested.</w:t>
              <w:br/>
            </w:r>
            <w:r>
              <w:rPr>
                <w:rFonts w:eastAsia="等线" w:ascii="Arial" w:cs="Arial" w:hAnsi="Arial"/>
                <w:b w:val="true"/>
                <w:color w:val="646a73"/>
                <w:sz w:val="22"/>
              </w:rPr>
              <w:t>Updated 2026-07-31</w:t>
            </w:r>
            <w:r>
              <w:rPr>
                <w:rFonts w:eastAsia="等线" w:ascii="Arial" w:cs="Arial" w:hAnsi="Arial"/>
                <w:color w:val="646a73"/>
                <w:sz w:val="22"/>
              </w:rPr>
              <w:t xml:space="preserve"> per Lens Alignment Report v4 + Scope Lock rerun: SL-13 confidence HIGH → MED (uncited quotation-push claim rejected, reverted to "quotation stays MAIA-only"; test steps unchanged, they already tested the correct behavior). SL-5 test cases corrected — delivery is via </w:t>
            </w:r>
            <w:r>
              <w:rPr>
                <w:rFonts w:eastAsia="等线" w:ascii="Arial" w:cs="Arial" w:hAnsi="Arial"/>
                <w:b w:val="true"/>
                <w:color w:val="646a73"/>
                <w:sz w:val="22"/>
              </w:rPr>
              <w:t>Lalamove</w:t>
            </w:r>
            <w:r>
              <w:rPr>
                <w:rFonts w:eastAsia="等线" w:ascii="Arial" w:cs="Arial" w:hAnsi="Arial"/>
                <w:color w:val="646a73"/>
                <w:sz w:val="22"/>
              </w:rPr>
              <w:t xml:space="preserve"> (external courier, not a MAIA user), POD is uploaded/attached by </w:t>
            </w:r>
            <w:r>
              <w:rPr>
                <w:rFonts w:eastAsia="等线" w:ascii="Arial" w:cs="Arial" w:hAnsi="Arial"/>
                <w:b w:val="true"/>
                <w:color w:val="646a73"/>
                <w:sz w:val="22"/>
              </w:rPr>
              <w:t>Asilah or Yap Li Min</w:t>
            </w:r>
            <w:r>
              <w:rPr>
                <w:rFonts w:eastAsia="等线" w:ascii="Arial" w:cs="Arial" w:hAnsi="Arial"/>
                <w:color w:val="646a73"/>
                <w:sz w:val="22"/>
              </w:rPr>
              <w:t xml:space="preserve">, not a "Driver" role. SL-14 (document templates) confirmed </w:t>
            </w:r>
            <w:r>
              <w:rPr>
                <w:rFonts w:eastAsia="等线" w:ascii="Arial" w:cs="Arial" w:hAnsi="Arial"/>
                <w:b w:val="true"/>
                <w:color w:val="646a73"/>
                <w:sz w:val="22"/>
              </w:rPr>
              <w:t>LOCKED</w:t>
            </w:r>
            <w:r>
              <w:rPr>
                <w:rFonts w:eastAsia="等线" w:ascii="Arial" w:cs="Arial" w:hAnsi="Arial"/>
                <w:color w:val="646a73"/>
                <w:sz w:val="22"/>
              </w:rPr>
              <w:t xml:space="preserve"> — MAIA's own PDF template for all 5 doc types — but has </w:t>
            </w:r>
            <w:r>
              <w:rPr>
                <w:rFonts w:eastAsia="等线" w:ascii="Arial" w:cs="Arial" w:hAnsi="Arial"/>
                <w:b w:val="true"/>
                <w:color w:val="646a73"/>
                <w:sz w:val="22"/>
              </w:rPr>
              <w:t>no test cases yet</w:t>
            </w:r>
            <w:r>
              <w:rPr>
                <w:rFonts w:eastAsia="等线" w:ascii="Arial" w:cs="Arial" w:hAnsi="Arial"/>
                <w:color w:val="646a73"/>
                <w:sz w:val="22"/>
              </w:rPr>
              <w:t xml:space="preserve">, added as a coverage gap. SL-12 (AutoCount 2-way sync) confirmed </w:t>
            </w:r>
            <w:r>
              <w:rPr>
                <w:rFonts w:eastAsia="等线" w:ascii="Arial" w:cs="Arial" w:hAnsi="Arial"/>
                <w:b w:val="true"/>
                <w:color w:val="646a73"/>
                <w:sz w:val="22"/>
              </w:rPr>
              <w:t>LOCKED (design)</w:t>
            </w:r>
            <w:r>
              <w:rPr>
                <w:rFonts w:eastAsia="等线" w:ascii="Arial" w:cs="Arial" w:hAnsi="Arial"/>
                <w:color w:val="646a73"/>
                <w:sz w:val="22"/>
              </w:rPr>
              <w:t xml:space="preserve"> but </w:t>
            </w:r>
            <w:r>
              <w:rPr>
                <w:rFonts w:eastAsia="等线" w:ascii="Arial" w:cs="Arial" w:hAnsi="Arial"/>
                <w:b w:val="true"/>
                <w:color w:val="646a73"/>
                <w:sz w:val="22"/>
              </w:rPr>
              <w:t>not turned on</w:t>
            </w:r>
            <w:r>
              <w:rPr>
                <w:rFonts w:eastAsia="等线" w:ascii="Arial" w:cs="Arial" w:hAnsi="Arial"/>
                <w:color w:val="646a73"/>
                <w:sz w:val="22"/>
              </w:rPr>
              <w:t xml:space="preserve"> in Dalson's live environment — stays excluded from this UAT cycle. Cash Sales Invoice gap (confirmed 2026-07-31, blocking, no SL-ID yet) added to 4b.</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Step 1 — Scope Inventory</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2565"/>
        <w:gridCol w:w="2565"/>
        <w:gridCol w:w="1245"/>
        <w:gridCol w:w="900"/>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ID</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name</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agreed?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Testable?</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as operational layer on top of AutoCount</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SL-2</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order intake via unstructured channels (WhatsApp/call/email)</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SL-3</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Messaging channel = Telegram</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(Superseded, confirmed 2026-07-12)</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SL-4</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SKU alias mapping / matching</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SL-5</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capture (photo)</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SL-6</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integration (access + data migration)</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SL-7</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Submission flow (no separate approval gate)</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(SUPERSEDED 2026-07-20 — approval gate removed, only 3 registered users: Yap Li Min, Asilah, Joseph)</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SL-8</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 handling (invoice-level)</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SL-9</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 stock update responsibility</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SL-10</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logic (ad hoc, per-customer negotiated)</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LOCKED (2026-07-22)</w:t>
            </w:r>
            <w:r>
              <w:rPr>
                <w:rFonts w:eastAsia="等线" w:ascii="Arial" w:cs="Arial" w:hAnsi="Arial"/>
                <w:sz w:val="22"/>
              </w:rPr>
              <w:t xml:space="preserve"> — owner confirmed: chatbot surfaces item price history from customer's last few orders, staff manually decides/confirms referencing it; standard AutoCount price auto-applies as default when no customer history exists yet</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SL-11</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&amp; item/SKU creation via chatbot</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LOCKED (2026-07-19)</w:t>
            </w:r>
            <w:r>
              <w:rPr>
                <w:rFonts w:eastAsia="等线" w:ascii="Arial" w:cs="Arial" w:hAnsi="Arial"/>
                <w:sz w:val="22"/>
              </w:rPr>
              <w:t xml:space="preserve"> — confirmed with Ivan (Vendor/Dev): chatbot can create both new customers and new SKUs directly in AutoCount, full capability not a fallback</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master e-invoice mandatory fields (sub-question under SL-11, not a standalone Scope Lock item — previously mislabeled "SL-12" in this doc)</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 — PARTIAL, needs re-verification specific to Dalson</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SL-12</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integration: ongoing 2-way sync mechanism</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LOCKED (design)</w:t>
            </w:r>
            <w:r>
              <w:rPr>
                <w:rFonts w:eastAsia="等线" w:ascii="Arial" w:cs="Arial" w:hAnsi="Arial"/>
                <w:sz w:val="22"/>
              </w:rPr>
              <w:t xml:space="preserve"> — direct DB access confirmed 2026-07-24, but </w:t>
            </w:r>
            <w:r>
              <w:rPr>
                <w:rFonts w:eastAsia="等线" w:ascii="Arial" w:cs="Arial" w:hAnsi="Arial"/>
                <w:b w:val="true"/>
                <w:sz w:val="22"/>
              </w:rPr>
              <w:t>not turned on yet</w:t>
            </w:r>
            <w:r>
              <w:rPr>
                <w:rFonts w:eastAsia="等线" w:ascii="Arial" w:cs="Arial" w:hAnsi="Arial"/>
                <w:sz w:val="22"/>
              </w:rPr>
              <w:t xml:space="preserve"> in Dalson's live environment (confirmed 2026-07-31)</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(design)</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 — do not test this cycle</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SL-13</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 → SO → Invoice → DO workflow (SO stage reinterpreted)</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LOCKED (SUPERSEDED)</w:t>
            </w:r>
            <w:r>
              <w:rPr>
                <w:rFonts w:eastAsia="等线" w:ascii="Arial" w:cs="Arial" w:hAnsi="Arial"/>
                <w:sz w:val="22"/>
              </w:rPr>
              <w:t xml:space="preserve"> — confidence </w:t>
            </w:r>
            <w:r>
              <w:rPr>
                <w:rFonts w:eastAsia="等线" w:ascii="Arial" w:cs="Arial" w:hAnsi="Arial"/>
                <w:b w:val="true"/>
                <w:sz w:val="22"/>
              </w:rPr>
              <w:t>MED</w:t>
            </w:r>
            <w:r>
              <w:rPr>
                <w:rFonts w:eastAsia="等线" w:ascii="Arial" w:cs="Arial" w:hAnsi="Arial"/>
                <w:sz w:val="22"/>
              </w:rPr>
              <w:t xml:space="preserve"> (downgraded 2026-07-31: an uncited claim that the quotation pushes to AutoCount was rejected for lacking citation; reverted to "quotation stays MAIA-only," pending a properly attributed re-verification)</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(written)</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SL-14</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generation (SO/Invoice/DO PDFs — layout/templates)</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LOCKED</w:t>
            </w:r>
            <w:r>
              <w:rPr>
                <w:rFonts w:eastAsia="等线" w:ascii="Arial" w:cs="Arial" w:hAnsi="Arial"/>
                <w:sz w:val="22"/>
              </w:rPr>
              <w:t xml:space="preserve"> — confirmed 2026-07-31: MAIA's own PDF template used for all 5 doc types (SO/SI/DO/CN/QTN)</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 — no test cases written yet (coverage gap)</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SL-15</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Supplier-side procurement automation</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SL-16</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ERP replacement</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SL-17</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Receipts</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LOCKED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w:t>
            </w:r>
          </w:p>
        </w:tc>
      </w:tr>
    </w:tbl>
    <w:p>
      <w:pPr>
        <w:spacing w:before="120" w:after="120" w:line="288" w:lineRule="auto"/>
        <w:ind w:left="0"/>
        <w:jc w:val="left"/>
      </w:pPr>
      <w:r>
        <w:rPr>
          <w:rFonts w:eastAsia="等线" w:ascii="Arial" w:cs="Arial" w:hAnsi="Arial"/>
          <w:b w:val="true"/>
          <w:sz w:val="22"/>
        </w:rPr>
        <w:t>Testable this cycle: SL-1 through SL-11, SL-13, SL-17 (13 items).</w:t>
      </w:r>
      <w:r>
        <w:rPr>
          <w:rFonts w:eastAsia="等线" w:ascii="Arial" w:cs="Arial" w:hAnsi="Arial"/>
          <w:sz w:val="22"/>
        </w:rPr>
        <w:t xml:space="preserve"> SL-14 is now LOCKED but has no test cases yet (coverage gap, not a scope-status exclusion). SL-12 is LOCKED at the design level but not active in the live environment — correctly excluded.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Step 2 — Unhappy-Path Bank</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70"/>
        <w:gridCol w:w="2730"/>
        <w:gridCol w:w="3360"/>
        <w:gridCol w:w="1320"/>
      </w:tblGrid>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 type</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situation from the docs</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Stresses</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Invalid input</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PO uses their own item wording that doesn't match Dalson's internal SKU naming (Customer Narrative §4.3: "customer item descriptions may differ from internal SKU naming")</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SL-4</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Ambiguity</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 item description matches more than one similar SKU (Narrative: "similar SKUs can create confusion")</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SL-4</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 incomplete data</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record incomplete/not found in AutoCount when preparing an invoice (Narrative §4.4: "if the customer is not properly found in AutoCount, staff still need to manually key in invoice details")</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 SL-6</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actor / permission</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Someone not on the 3-person registered list attempts to submit a Sales Order or Invoice</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SL-7</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 / duplicate</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PO forwarded into MAIA twice (staff error, common with WhatsApp/Telegram forwarding)</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SL-2</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Interruption / wrong state</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sync fails or times out mid-order-draft</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 SL-6</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Downstream integrity</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needs to retrieve a past Delivery Order later from a live order reference (VOC-012: "master DO... maybe I cannot find it anymore")</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SL-2, SL-5, SL-6</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 incomplete data</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is completed but no POD photo is uploaded</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SL-5</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actor / permission</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 sent to the MAIA Telegram account from an unregistered/unknown number</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SL-3</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Must-NOT</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must NOT finalize/push an invoice to AutoCount without one of the 3 registered users (Yap Li Min, Asilah, Joseph) explicitly submitting it (SL-1 AC: "no scenario where MAIA replaces AutoCount as ledger/invoicing source")</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 SL-7</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Must-NOT</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must NOT issue a credit note at customer-account level — only at invoice level (VOC-022, Dalson's confirmed practice)</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SL-8</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Boundary / limit</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 requested against an invoice ID that doesn't exist / already fully credited</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SL-8</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Downstream integrity</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Stock/inventory update from an order must reflect back correctly without manual re-entry (SL-9)</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SL-9</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Step 3 — UAT Test Cases</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SL-1 — MAIA as operational layer on top of AutoCount</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55"/>
        <w:gridCol w:w="555"/>
        <w:gridCol w:w="660"/>
        <w:gridCol w:w="975"/>
        <w:gridCol w:w="585"/>
        <w:gridCol w:w="975"/>
        <w:gridCol w:w="990"/>
        <w:gridCol w:w="885"/>
        <w:gridCol w:w="945"/>
        <w:gridCol w:w="555"/>
        <w:gridCol w:w="585"/>
      </w:tblGrid>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ID</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ref</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Path</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 type</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Role/actor</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Precondition</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Steps</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data</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 result</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Pass/Fail</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&amp; date</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connected to AutoCount, staging data loaded</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Ask MAIA to look up a known customer. 2. Confirm details match AutoCount.</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Existing customer name from AutoCount export</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details shown in MAIA match AutoCount record exactly; no invented fields</w:t>
            </w:r>
          </w:p>
        </w:tc>
        <w:tc>
          <w:tcPr>
            <w:tcW w:w="555"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data</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Asilah</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not yet in AutoCount</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Forward PO for an unlisted customer. 2. Observe MAIA's response.</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 from a customer not in AutoCount export</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flags customer as not found and asks staff to key in / confirm — does NOT invent or auto-create a ledger entry</w:t>
            </w:r>
          </w:p>
        </w:tc>
        <w:tc>
          <w:tcPr>
            <w:tcW w:w="555"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Must-NOT</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SO prepared in MAIA</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Prepare a draft SO via MAIA. 2. Attempt to treat the draft as final without explicit confirmation step.</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draft order</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does NOT push the order to AutoCount as a finalized ledger entry without an explicit human confirmation action</w:t>
            </w:r>
          </w:p>
        </w:tc>
        <w:tc>
          <w:tcPr>
            <w:tcW w:w="555"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Interruption</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Mid-draft order in progress</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Start an order draft. 2. Simulate/observe an AutoCount sync interruption. 3. Resume.</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In-progress draft</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surfaces the sync failure to the user rather than silently completing or losing the order</w:t>
            </w:r>
          </w:p>
        </w:tc>
        <w:tc>
          <w:tcPr>
            <w:tcW w:w="555"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5" w:id="5"/>
      <w:r>
        <w:rPr>
          <w:rFonts w:eastAsia="等线" w:ascii="Arial" w:cs="Arial" w:hAnsi="Arial"/>
          <w:b w:val="true"/>
          <w:sz w:val="30"/>
        </w:rPr>
        <w:t>SL-2 — Core order intake via unstructured channels</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570"/>
        <w:gridCol w:w="660"/>
        <w:gridCol w:w="870"/>
        <w:gridCol w:w="600"/>
        <w:gridCol w:w="990"/>
        <w:gridCol w:w="840"/>
        <w:gridCol w:w="990"/>
        <w:gridCol w:w="1035"/>
        <w:gridCol w:w="570"/>
        <w:gridCol w:w="600"/>
      </w:tblGrid>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ID</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ref</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Path</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 type</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Role/actor</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Precondition</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Steps</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data</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 result</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Pass/Fail</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&amp; date</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SL-2</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Asilah</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channel live</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Forward a real customer PO image/text into MAIA. 2. Review the extracted draft.</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Sample PO (per Narrative §7.1 doc-sample request)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produces an order draft with items/quantities matching the PO</w:t>
            </w:r>
          </w:p>
        </w:tc>
        <w:tc>
          <w:tcPr>
            <w:tcW w:w="570"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SL-2</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Conflict/duplicate</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Asilah</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PO available twice</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Forward the same PO into MAIA twice. 2. Observe behavior.</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Duplicate PO</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warns of a likely duplicate order rather than silently creating two orders</w:t>
            </w:r>
          </w:p>
        </w:tc>
        <w:tc>
          <w:tcPr>
            <w:tcW w:w="570"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SL-2</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Invalid input</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Asilah</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Forward a garbled/partial PO (e.g. cropped image, incomplete text). 2. Observe MAIA's handling.</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Deliberately incomplete PO</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flags missing/unclear information and asks for clarification rather than guessing a full order</w:t>
            </w:r>
          </w:p>
        </w:tc>
        <w:tc>
          <w:tcPr>
            <w:tcW w:w="570"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SL-2</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Downstream integrity</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placed and delivered weeks prior</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Ask MAIA/backend workspace to retrieve the DO for a specific past order. 2. Confirm it's found.</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live order reference from a completed order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correct DO is retrievable by order reference — addresses VOC-012 pain point directly</w:t>
            </w:r>
          </w:p>
        </w:tc>
        <w:tc>
          <w:tcPr>
            <w:tcW w:w="570"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6" w:id="6"/>
      <w:r>
        <w:rPr>
          <w:rFonts w:eastAsia="等线" w:ascii="Arial" w:cs="Arial" w:hAnsi="Arial"/>
          <w:b w:val="true"/>
          <w:sz w:val="30"/>
        </w:rPr>
        <w:t>SL-3 — Messaging channel = Telegram</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55"/>
        <w:gridCol w:w="555"/>
        <w:gridCol w:w="645"/>
        <w:gridCol w:w="645"/>
        <w:gridCol w:w="960"/>
        <w:gridCol w:w="960"/>
        <w:gridCol w:w="945"/>
        <w:gridCol w:w="840"/>
        <w:gridCol w:w="1050"/>
        <w:gridCol w:w="555"/>
        <w:gridCol w:w="585"/>
      </w:tblGrid>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ID</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ref</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Path</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 type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Role/actor</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Precondition</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Steps</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data</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 result</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Pass/Fail</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&amp; date</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SL-3</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 / staff</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Dalson Telegram account set up</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Send a message from a registered staff Telegram account. 2. Confirm MAIA responds.</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Registered account</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responds correctly via Telegram</w:t>
            </w:r>
          </w:p>
        </w:tc>
        <w:tc>
          <w:tcPr>
            <w:tcW w:w="555"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SL-3</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actor</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Unregistered person</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Message MAIA's Telegram account from an unknown/unregistered number. 2. Observe response.</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non-staff Telegram account</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does not process the message as a valid staff order/action (rejects or ignores per access-control design)</w:t>
            </w:r>
          </w:p>
        </w:tc>
        <w:tc>
          <w:tcPr>
            <w:tcW w:w="555"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UP-19</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SL-3</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Invalid input</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 / staff</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Dalson Telegram account set up</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Send a non-text message (e.g. a photo, sticker, or voice note with no text) to MAIA's Telegram account from a registered staff account. 2. Observe response.</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Registered account, non-text message type</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does not misinterpret the message as an order/action — either prompts for valid text input or rejects gracefully, no false order creation</w:t>
            </w:r>
          </w:p>
        </w:tc>
        <w:tc>
          <w:tcPr>
            <w:tcW w:w="555"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7" w:id="7"/>
      <w:r>
        <w:rPr>
          <w:rFonts w:eastAsia="等线" w:ascii="Arial" w:cs="Arial" w:hAnsi="Arial"/>
          <w:b w:val="true"/>
          <w:sz w:val="30"/>
        </w:rPr>
        <w:t>SL-4 — SKU alias mapping / matching</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55"/>
        <w:gridCol w:w="555"/>
        <w:gridCol w:w="660"/>
        <w:gridCol w:w="780"/>
        <w:gridCol w:w="585"/>
        <w:gridCol w:w="975"/>
        <w:gridCol w:w="885"/>
        <w:gridCol w:w="1065"/>
        <w:gridCol w:w="1050"/>
        <w:gridCol w:w="555"/>
        <w:gridCol w:w="585"/>
      </w:tblGrid>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ID</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ref</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Path</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 type</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Role/actor</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Precondition</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data</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 result</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Pass/Fail</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&amp; date</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HP-04</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SL-4</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Asilah</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master loaded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Forward PO with an item description that closely matches one SKU. 2. Confirm MAIA's match.</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e.g. "WD40 spray lube" → matches catalogued WD40 SKU</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correctly matches to the right SKU</w:t>
            </w:r>
          </w:p>
        </w:tc>
        <w:tc>
          <w:tcPr>
            <w:tcW w:w="555"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UP-08</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SL-4</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Invalid input</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Asilah</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Forward PO using customer's own wording that differs from internal SKU naming. 2. Observe match/suggestion.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Customer-style description vs internal SKU name</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either matches correctly or surfaces a closest-match suggestion for staff confirmation — does not silently pick a wrong SKU</w:t>
            </w:r>
          </w:p>
        </w:tc>
        <w:tc>
          <w:tcPr>
            <w:tcW w:w="555"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UP-09</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SL-4</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Ambiguity</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Asilah</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Two+ similar SKUs exist</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Forward PO with a description matching multiple similar SKUs. 2. Observe MAIA's handling.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e.g. two similar valve sizes/models</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flags ambiguity and asks staff to confirm the correct SKU rather than auto-selecting one</w:t>
            </w:r>
          </w:p>
        </w:tc>
        <w:tc>
          <w:tcPr>
            <w:tcW w:w="555"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8" w:id="8"/>
      <w:r>
        <w:rPr>
          <w:rFonts w:eastAsia="等线" w:ascii="Arial" w:cs="Arial" w:hAnsi="Arial"/>
          <w:b w:val="true"/>
          <w:sz w:val="30"/>
        </w:rPr>
        <w:t>SL-5 — POD capture (photo)</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00"/>
        <w:gridCol w:w="600"/>
        <w:gridCol w:w="705"/>
        <w:gridCol w:w="915"/>
        <w:gridCol w:w="630"/>
        <w:gridCol w:w="1050"/>
        <w:gridCol w:w="795"/>
        <w:gridCol w:w="825"/>
        <w:gridCol w:w="960"/>
        <w:gridCol w:w="600"/>
        <w:gridCol w:w="630"/>
      </w:tblGrid>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ID</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ref</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Path</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 type</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Role/actor</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Precondition</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data</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 result</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Pass/Fail</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&amp; date</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HP-05</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SL-5</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Asilah (or Yap Li Min)</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completed via Lalamove</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Receive POD (photo/signed doc) from Lalamove after delivery. 2. Upload and attach it to the DN in MAIA. 3. Confirm it's linked to the correct order/DO.</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Sample delivery + POD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is stored and linked to the correct order/DO record</w:t>
            </w:r>
          </w:p>
        </w:tc>
        <w:tc>
          <w:tcPr>
            <w:tcW w:w="60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UP-10</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SL-5</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data</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Asilah</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completed via Lalamove</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Complete a delivery. 2. Do NOT attach a POD to the DN. 3. Check order status in backend.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Order/DO status reflects missing POD rather than silently marking delivery fully complete</w:t>
            </w:r>
          </w:p>
        </w:tc>
        <w:tc>
          <w:tcPr>
            <w:tcW w:w="60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UP-11</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SL-5</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Downstream integrity</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uploaded previously</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Retrieve a past order. 2. Confirm the POD photo is still viewable from the order/DO trail.</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Past completed delivery</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photo remains retrievable and correctly linked, addressing VOC-011/012</w:t>
            </w:r>
          </w:p>
        </w:tc>
        <w:tc>
          <w:tcPr>
            <w:tcW w:w="60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9" w:id="9"/>
      <w:r>
        <w:rPr>
          <w:rFonts w:eastAsia="等线" w:ascii="Arial" w:cs="Arial" w:hAnsi="Arial"/>
          <w:b w:val="true"/>
          <w:sz w:val="30"/>
        </w:rPr>
        <w:t>SL-6 — AutoCount integration (access + data migration)</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570"/>
        <w:gridCol w:w="675"/>
        <w:gridCol w:w="990"/>
        <w:gridCol w:w="570"/>
        <w:gridCol w:w="990"/>
        <w:gridCol w:w="1140"/>
        <w:gridCol w:w="780"/>
        <w:gridCol w:w="810"/>
        <w:gridCol w:w="570"/>
        <w:gridCol w:w="600"/>
      </w:tblGrid>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ID</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ref</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Path</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 type</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Role/actor</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Precondition</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Steps</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data</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 result</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Pass/Fail</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&amp; date</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HP-06</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SL-6</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Migrated data live</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Confirm a sample of migrated customer/item records in MAIA match AutoCount. 2. Push a confirmed SO from MAIA. 3. Verify it appears correctly in AutoCount.</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Sample record set</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 matches 1:1; pushed SO appears correctly in AutoCount</w:t>
            </w:r>
          </w:p>
        </w:tc>
        <w:tc>
          <w:tcPr>
            <w:tcW w:w="570"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UP-12</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SL-6</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Interruption</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Simulate AutoCount unavailability. 2. Attempt to push a confirmed order. 3. Observe MAIA's response.</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confirmed order</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surfaces the failure clearly, does not silently drop or duplicate the record</w:t>
            </w:r>
          </w:p>
        </w:tc>
        <w:tc>
          <w:tcPr>
            <w:tcW w:w="570"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UP-13</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SL-6</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 incomplete data</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Identify a record in AutoCount not present in the migrated data. 2. Query it via MAIA.</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Edge-case record</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does not fabricate data for a record it cannot find; flags as not found</w:t>
            </w:r>
          </w:p>
        </w:tc>
        <w:tc>
          <w:tcPr>
            <w:tcW w:w="570"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0" w:id="10"/>
      <w:r>
        <w:rPr>
          <w:rFonts w:eastAsia="等线" w:ascii="Arial" w:cs="Arial" w:hAnsi="Arial"/>
          <w:b w:val="true"/>
          <w:sz w:val="30"/>
        </w:rPr>
        <w:t>SL-7 — Submission flow (no separate approval gate)</w:t>
      </w:r>
      <w:bookmarkEnd w:id="1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Updated 2026-07-20:</w:t>
            </w:r>
            <w:r>
              <w:rPr>
                <w:rFonts w:eastAsia="等线" w:ascii="Arial" w:cs="Arial" w:hAnsi="Arial"/>
                <w:color w:val="646a73"/>
                <w:sz w:val="22"/>
              </w:rPr>
              <w:t xml:space="preserve"> SL-7 was superseded — client (Yap Li Min) confirmed only 3 people use MAIA for Dalson (herself, Asilah, Joseph), so the earlier sole-approver gate was dropped. Any of the 3 can submit a document directly; submission is final. Test cases below rewritten accordingly — UP-14 previously tested that Asilah's approval was refused; that behaviour is now wrong, so it's replaced with a no-silent-auto-submit check. UP-15 previously tested an unapproved draft; replaced with an unregistered-actor submission check (mirrors SL-3's access control, specific to the submit action).</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570"/>
        <w:gridCol w:w="675"/>
        <w:gridCol w:w="855"/>
        <w:gridCol w:w="1005"/>
        <w:gridCol w:w="1005"/>
        <w:gridCol w:w="975"/>
        <w:gridCol w:w="600"/>
        <w:gridCol w:w="855"/>
        <w:gridCol w:w="570"/>
        <w:gridCol w:w="600"/>
      </w:tblGrid>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ID</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ref</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Path</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 type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Role/actor</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Precondition</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Steps</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data</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 result</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Pass/Fail</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&amp; date</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HP-07</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SL-7</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Asilah (or Yap Li Min, or Joseph)</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SO/Invoice ready</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Any of the 3 registered users submits the draft directly. 2. Confirm it proceeds to AutoCount without requiring a second person's sign-off.</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Sample draft order</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proceeds to AutoCount on the registered user's own submission — no second approval step exists or is required</w:t>
            </w:r>
          </w:p>
        </w:tc>
        <w:tc>
          <w:tcPr>
            <w:tcW w:w="570"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UP-14</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SL-7</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Must-NOT</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SO/Invoice ready, not yet submitted</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Leave the draft unsubmitted. 2. Confirm MAIA itself never auto-pushes it to AutoCount without one of the 3 registered users explicitly taking the submit action.</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sample draft</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remains pending until a registered user explicitly submits — MAIA never submits on its own</w:t>
            </w:r>
          </w:p>
        </w:tc>
        <w:tc>
          <w:tcPr>
            <w:tcW w:w="570"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UP-15</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SL-7</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actor / permission</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Unregistered person</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SO/Invoice ready</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An unregistered/non-staff account attempts to submit the draft. 2. Observe system response.</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sample draft</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 refuses — only the 3 registered users (Yap Li Min, Asilah, Joseph) can submit</w:t>
            </w:r>
          </w:p>
        </w:tc>
        <w:tc>
          <w:tcPr>
            <w:tcW w:w="570"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1" w:id="11"/>
      <w:r>
        <w:rPr>
          <w:rFonts w:eastAsia="等线" w:ascii="Arial" w:cs="Arial" w:hAnsi="Arial"/>
          <w:b w:val="true"/>
          <w:sz w:val="30"/>
        </w:rPr>
        <w:t>SL-8 — Credit note handling (invoice-level)</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55"/>
        <w:gridCol w:w="555"/>
        <w:gridCol w:w="660"/>
        <w:gridCol w:w="750"/>
        <w:gridCol w:w="645"/>
        <w:gridCol w:w="975"/>
        <w:gridCol w:w="1185"/>
        <w:gridCol w:w="765"/>
        <w:gridCol w:w="1005"/>
        <w:gridCol w:w="555"/>
        <w:gridCol w:w="600"/>
      </w:tblGrid>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ID</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ref</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Path</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 type</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Role/actor</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Precondition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Steps</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data</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 result</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Pass/Fail</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&amp; date</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HP-08</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SL-8</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 / finance</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Existing invoice with a returned item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Issue a credit note referencing the specific invoice ID and item. 2. Confirm it's recorded correctly.</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Sample invoice + return item</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 is tied to the correct invoice ID, not the customer account</w:t>
            </w:r>
          </w:p>
        </w:tc>
        <w:tc>
          <w:tcPr>
            <w:tcW w:w="555"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UP-16</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SL-8</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Must-NOT</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 / finance</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Attempt to issue a credit note at the customer-account level (no specific invoice reference). 2. Observe system response.</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account, no invoice ref</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 does not allow account-level credit note — this contradicts Dalson's confirmed practice (VOC-022)</w:t>
            </w:r>
          </w:p>
        </w:tc>
        <w:tc>
          <w:tcPr>
            <w:tcW w:w="555"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UP-17</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SL-8</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Boundary / limit</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 / finance</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Attempt to issue a credit note against an invoice ID that doesn't exist or is already fully credited. 2. Observe response.</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Invalid/exhausted invoice ID</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 rejects with a clear error, does not create an orphaned or duplicate credit note</w:t>
            </w:r>
          </w:p>
        </w:tc>
        <w:tc>
          <w:tcPr>
            <w:tcW w:w="555"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2" w:id="12"/>
      <w:r>
        <w:rPr>
          <w:rFonts w:eastAsia="等线" w:ascii="Arial" w:cs="Arial" w:hAnsi="Arial"/>
          <w:b w:val="true"/>
          <w:sz w:val="30"/>
        </w:rPr>
        <w:t>SL-9 — Warehouse / stock update responsibility</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570"/>
        <w:gridCol w:w="660"/>
        <w:gridCol w:w="870"/>
        <w:gridCol w:w="600"/>
        <w:gridCol w:w="990"/>
        <w:gridCol w:w="885"/>
        <w:gridCol w:w="900"/>
        <w:gridCol w:w="1080"/>
        <w:gridCol w:w="570"/>
        <w:gridCol w:w="600"/>
      </w:tblGrid>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ID</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ref</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Path</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 type</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Role/actor</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Precondition</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data</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 result</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Pass/Fail</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&amp; date</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HP-09</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SL-9</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Joseph</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confirmed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Confirm an order. 2. Confirm stock levels update to reflect the fulfilled order.</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Sample stocked SKU</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quantity reflects the order without manual re-entry</w:t>
            </w:r>
          </w:p>
        </w:tc>
        <w:tc>
          <w:tcPr>
            <w:tcW w:w="570"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UP-18</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SL-9</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Downstream integrity</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Joseph</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Fulfill an order for an item marked as one that doesn't require stock-count tracking (per VOC-006: only a few items need real tracking). 2. Confirm system behaves correctly (doesn't force a stock update where none is expected).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Non-tracked SKU</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 respects the item's tracking configuration; does not force an update where the client doesn't track stock</w:t>
            </w:r>
          </w:p>
        </w:tc>
        <w:tc>
          <w:tcPr>
            <w:tcW w:w="570"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3" w:id="13"/>
      <w:r>
        <w:rPr>
          <w:rFonts w:eastAsia="等线" w:ascii="Arial" w:cs="Arial" w:hAnsi="Arial"/>
          <w:b w:val="true"/>
          <w:sz w:val="30"/>
        </w:rPr>
        <w:t>SL-11 — Customer &amp; item/SKU creation via chatbot</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85"/>
        <w:gridCol w:w="585"/>
        <w:gridCol w:w="690"/>
        <w:gridCol w:w="810"/>
        <w:gridCol w:w="630"/>
        <w:gridCol w:w="1035"/>
        <w:gridCol w:w="900"/>
        <w:gridCol w:w="900"/>
        <w:gridCol w:w="900"/>
        <w:gridCol w:w="585"/>
        <w:gridCol w:w="630"/>
      </w:tblGrid>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ID</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ref</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Path</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 type</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Role/actor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Precondition</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data</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 result</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Pass/Fail</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&amp; date</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SL-11</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Asilah / staff</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Chatbot access to MAIA</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Create a new customer via the chatbot for a first-time buyer. 2. Confirm it pushes correctly to AutoCount. 3. Repeat for a new SKU/item not yet in the item master.</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customer + new item details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Both new customer and new item are created and reflected correctly in AutoCount, no manual key-in required</w:t>
            </w:r>
          </w:p>
        </w:tc>
        <w:tc>
          <w:tcPr>
            <w:tcW w:w="585"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SL-11</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Invalid input</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Asilah / staff</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Attempt to create a new customer via chatbot with a mandatory field missing (e.g. no tax identity). 2. Observe response.</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Incomplete customer details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flags the missing mandatory field and does not push an incomplete record to AutoCount</w:t>
            </w:r>
          </w:p>
        </w:tc>
        <w:tc>
          <w:tcPr>
            <w:tcW w:w="585"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SL-11</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 / duplicate</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Asilah / staff</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or SKU already exists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Attempt to create a customer/SKU that already exists in AutoCount. 2. Observe response.</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Existing customer or SKU name</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detects the duplicate, does not create a second record, prompts staff to use the existing one</w:t>
            </w:r>
          </w:p>
        </w:tc>
        <w:tc>
          <w:tcPr>
            <w:tcW w:w="585"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4" w:id="14"/>
      <w:r>
        <w:rPr>
          <w:rFonts w:eastAsia="等线" w:ascii="Arial" w:cs="Arial" w:hAnsi="Arial"/>
          <w:b w:val="true"/>
          <w:sz w:val="30"/>
        </w:rPr>
        <w:t>SL-10 — Pricing logic (ad hoc, per-customer)</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570"/>
        <w:gridCol w:w="660"/>
        <w:gridCol w:w="960"/>
        <w:gridCol w:w="570"/>
        <w:gridCol w:w="990"/>
        <w:gridCol w:w="1005"/>
        <w:gridCol w:w="750"/>
        <w:gridCol w:w="1065"/>
        <w:gridCol w:w="570"/>
        <w:gridCol w:w="600"/>
      </w:tblGrid>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ID</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ref</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Path</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 type</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Role/actor</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Precondition</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Steps</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data</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 result</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Pass/Fail</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&amp; date</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HP-13</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SL-10</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 / staff</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has ordered this item at least once before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Start a new order for a repeat customer + item they've bought before. 2. Open the pricing step in the chatbot. 3. Confirm the chatbot displays the price(s) charged on that customer's last few orders for this item. 4. Enter/confirm the price for this order referencing that history.</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Repeat customer, item with prior order history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Chatbot surfaces the last few order prices for that customer+item combo; staff can reference it before confirming the line price</w:t>
            </w:r>
          </w:p>
        </w:tc>
        <w:tc>
          <w:tcPr>
            <w:tcW w:w="570"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UP-26</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SL-10</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precondition</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 / staff</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customer, or first order of this item for this customer — no price history exists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Start a new order for a customer/item combo with no prior order history. 2. Observe pricing step.</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customer or new item for existing customer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auto-applies the standard AutoCount item price as the default; staff can still override it — no blank/undefined price field</w:t>
            </w:r>
          </w:p>
        </w:tc>
        <w:tc>
          <w:tcPr>
            <w:tcW w:w="570"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UP-27</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SL-10</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Must-NOT</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Repeat customer with price history</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Confirm the chatbot does not silently auto-fill a single "last price" without staff confirmation.</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Repeat customer order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Staff always sees and confirms the price line — history is a reference, not an auto-committed value</w:t>
            </w:r>
          </w:p>
        </w:tc>
        <w:tc>
          <w:tcPr>
            <w:tcW w:w="570"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5" w:id="15"/>
      <w:r>
        <w:rPr>
          <w:rFonts w:eastAsia="等线" w:ascii="Arial" w:cs="Arial" w:hAnsi="Arial"/>
          <w:b w:val="true"/>
          <w:sz w:val="30"/>
        </w:rPr>
        <w:t>SL-13 — PO → SO → Invoice → DO workflow (SO stage reinterpreted)</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55"/>
        <w:gridCol w:w="555"/>
        <w:gridCol w:w="645"/>
        <w:gridCol w:w="750"/>
        <w:gridCol w:w="555"/>
        <w:gridCol w:w="960"/>
        <w:gridCol w:w="1425"/>
        <w:gridCol w:w="870"/>
        <w:gridCol w:w="840"/>
        <w:gridCol w:w="555"/>
        <w:gridCol w:w="585"/>
      </w:tblGrid>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ID</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ref</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Path</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 type</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Role/actor</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Precondition</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Steps</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data</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 result</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Pass/Fail</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&amp; date</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HP-11</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SL-13</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customer requiring upfront payment</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Generate the MAIA-side proforma/SO-style document for a new customer. 2. Confirm the customer pays. 3. Confirm Invoice + DO push to AutoCount as normal, while the SO/quotation-equivalent document stays inside MAIA only.</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customer order</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Proforma document generated correctly; only Invoice + DO reach AutoCount, no formal SO record created there</w:t>
            </w:r>
          </w:p>
        </w:tc>
        <w:tc>
          <w:tcPr>
            <w:tcW w:w="555"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UP-22</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SL-13</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Must-NOT</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order at SO/quotation stage</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Confirm the SO/quotation-equivalent document is never pushed to AutoCount as a formal Sales Order record.</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order</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never receives a Sales Order record from MAIA — only Invoice and DO</w:t>
            </w:r>
          </w:p>
        </w:tc>
        <w:tc>
          <w:tcPr>
            <w:tcW w:w="555"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UP-23</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SL-13</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state</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SO/quotation document exists in MAIA, not yet an invoice</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Attempt to push the MAIA-side SO/quotation document directly to AutoCount without going through the Invoice step. 2. Observe response.</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In-progress SO/quotation</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 blocks or rejects — the only valid path to AutoCount is via Invoice, not directly from the SO/quotation stage</w:t>
            </w:r>
          </w:p>
        </w:tc>
        <w:tc>
          <w:tcPr>
            <w:tcW w:w="555"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6" w:id="16"/>
      <w:r>
        <w:rPr>
          <w:rFonts w:eastAsia="等线" w:ascii="Arial" w:cs="Arial" w:hAnsi="Arial"/>
          <w:b w:val="true"/>
          <w:sz w:val="30"/>
        </w:rPr>
        <w:t>SL-17 — Receipts</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55"/>
        <w:gridCol w:w="555"/>
        <w:gridCol w:w="645"/>
        <w:gridCol w:w="945"/>
        <w:gridCol w:w="555"/>
        <w:gridCol w:w="960"/>
        <w:gridCol w:w="1080"/>
        <w:gridCol w:w="885"/>
        <w:gridCol w:w="1005"/>
        <w:gridCol w:w="555"/>
        <w:gridCol w:w="585"/>
      </w:tblGrid>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ID</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ref</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Path</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 type</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Role/actor</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Precondition</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Steps</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data</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 result</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Pass/Fail</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 &amp; date</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HP-12</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SL-17</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 / staff</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has paid, proof of payment attached</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Customer explicitly requests a receipt. 2. Staff generates it via one click in MAIA, tied to the related order/invoice.</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Paid order with proof of payment attached</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Receipt is generated correctly and linked to the correct order/invoice</w:t>
            </w:r>
          </w:p>
        </w:tc>
        <w:tc>
          <w:tcPr>
            <w:tcW w:w="555"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UP-24</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SL-17</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Must-NOT</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Proof of payment attached to an order/invoice</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Attach a proof of payment to an order or invoice. 2. Confirm no receipt is auto-generated.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paid order</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receipt is generated automatically — receipt generation only happens on explicit request</w:t>
            </w:r>
          </w:p>
        </w:tc>
        <w:tc>
          <w:tcPr>
            <w:tcW w:w="555"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UP-25</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SL-17</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precondition</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 / staff</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proof of payment attached</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Attempt to generate a receipt for an order with no attached proof of payment. 2. Observe response.</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Unpaid or unconfirmed order</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 flags the missing precondition or requires explicit confirmation — does not silently generate a receipt with nothing to back it</w:t>
            </w:r>
          </w:p>
        </w:tc>
        <w:tc>
          <w:tcPr>
            <w:tcW w:w="555"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 w:id="17"/>
      <w:r>
        <w:rPr>
          <w:rFonts w:eastAsia="等线" w:ascii="Arial" w:cs="Arial" w:hAnsi="Arial"/>
          <w:b w:val="true"/>
          <w:sz w:val="32"/>
        </w:rPr>
        <w:t>Step 4 — Coverage &amp; Traceability</w:t>
      </w:r>
      <w:bookmarkEnd w:id="17"/>
    </w:p>
    <w:p>
      <w:pPr>
        <w:pStyle w:val="3"/>
        <w:spacing w:before="300" w:after="120" w:line="288" w:lineRule="auto"/>
        <w:ind w:left="0"/>
        <w:jc w:val="left"/>
        <w:outlineLvl w:val="2"/>
      </w:pPr>
      <w:bookmarkStart w:name="heading_18" w:id="18"/>
      <w:r>
        <w:rPr>
          <w:rFonts w:eastAsia="等线" w:ascii="Arial" w:cs="Arial" w:hAnsi="Arial"/>
          <w:b w:val="true"/>
          <w:sz w:val="30"/>
        </w:rPr>
        <w:t>4a. Traceability</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15"/>
        <w:gridCol w:w="3150"/>
        <w:gridCol w:w="1095"/>
        <w:gridCol w:w="2205"/>
        <w:gridCol w:w="900"/>
      </w:tblGrid>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ID</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item</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Happy cases</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Unhappy cases</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Covered?</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overlay on AutoCount</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 UP-02, UP-03</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SL-2</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intake via unstructured channels</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 UP-05, UP-06</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SL-3</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Telegram channel</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 UP-19</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SL-4</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SKU alias mapping</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HP-04</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UP-08, UP-09</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SL-5</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capture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HP-05</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UP-10, UP-11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SL-6</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integration (access + migration)</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HP-06</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UP-12, UP-13</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SL-7</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Submission flow (no approval gate)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HP-07</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UP-14, UP-15</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SL-8</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 handling</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HP-08</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UP-16, UP-17</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SL-9</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Warehouse/stock update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HP-09</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UP-18</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SL-10</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logic (ad hoc, per-customer)</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HP-13</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UP-26, UP-27</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SL-11</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&amp; item/SKU creation via chatbot</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HP-10</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UP-20, UP-21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SL-13</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PO→SO→Invoice→DO workflow (SO reinterpreted)</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HP-11</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UP-22, UP-23</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SL-17</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Receipts</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HP-12</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UP-24, UP-25</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bl>
    <w:p>
      <w:pPr>
        <w:pStyle w:val="3"/>
        <w:spacing w:before="300" w:after="120" w:line="288" w:lineRule="auto"/>
        <w:ind w:left="0"/>
        <w:jc w:val="left"/>
        <w:outlineLvl w:val="2"/>
      </w:pPr>
      <w:bookmarkStart w:name="heading_19" w:id="19"/>
      <w:r>
        <w:rPr>
          <w:rFonts w:eastAsia="等线" w:ascii="Arial" w:cs="Arial" w:hAnsi="Arial"/>
          <w:b w:val="true"/>
          <w:sz w:val="30"/>
        </w:rPr>
        <w:t>4b. Excluded — not tested</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15"/>
        <w:gridCol w:w="3675"/>
        <w:gridCol w:w="3675"/>
      </w:tblGrid>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Reason not tested</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 Sales Invoice support (walk-in/unknown customer)</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NEEDS SCOPING, BLOCKING</w:t>
            </w:r>
            <w:r>
              <w:rPr>
                <w:rFonts w:eastAsia="等线" w:ascii="Arial" w:cs="Arial" w:hAnsi="Arial"/>
                <w:sz w:val="22"/>
              </w:rPr>
              <w:t xml:space="preserve"> — confirmed 2026-07-31, no SL-ID yet; MAIA has no cash-invoice type built (no front-end payment UI, chatbot, backend schema, PDF/reporting)</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master e-invoice mandatory fields (sub-question under SL-11)</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 — PARTIAL, needs re-verification specific to Dalson before testable</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SL-12</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integration: ongoing 2-way sync mechanism</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(design), but not turned on yet in Dalson's live environment — do not test this cycle</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SL-14</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generation (SO/Invoice/DO PDFs)</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2026-07-31 (MAIA's own PDF template, all 5 doc types) — no test cases written yet, coverage gap not a scope exclusion</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SL-15</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Supplier-side procurement automation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OOS — explicitly excluded from Phase 1</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SL-16</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ERP replacement</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OOS — MAIA is overlay only</w:t>
            </w:r>
          </w:p>
        </w:tc>
      </w:tr>
    </w:tbl>
    <w:p>
      <w:pPr>
        <w:pStyle w:val="3"/>
        <w:spacing w:before="300" w:after="120" w:line="288" w:lineRule="auto"/>
        <w:ind w:left="0"/>
        <w:jc w:val="left"/>
        <w:outlineLvl w:val="2"/>
      </w:pPr>
      <w:bookmarkStart w:name="heading_20" w:id="20"/>
      <w:r>
        <w:rPr>
          <w:rFonts w:eastAsia="等线" w:ascii="Arial" w:cs="Arial" w:hAnsi="Arial"/>
          <w:b w:val="true"/>
          <w:sz w:val="30"/>
        </w:rPr>
        <w:t>4c. Assumptions &amp; gaps</w:t>
      </w:r>
      <w:bookmarkEnd w:id="20"/>
    </w:p>
    <w:p>
      <w:pPr>
        <w:numPr>
          <w:numId w:val="1"/>
        </w:numPr>
        <w:spacing w:before="120" w:after="120" w:line="288" w:lineRule="auto"/>
        <w:ind w:left="0"/>
        <w:jc w:val="left"/>
      </w:pPr>
      <w:r>
        <w:rPr>
          <w:rFonts w:eastAsia="等线" w:ascii="Arial" w:cs="Arial" w:hAnsi="Arial"/>
          <w:b w:val="true"/>
          <w:sz w:val="22"/>
        </w:rPr>
        <w:t>Receipts (SL-17)</w:t>
      </w:r>
      <w:r>
        <w:rPr>
          <w:rFonts w:eastAsia="等线" w:ascii="Arial" w:cs="Arial" w:hAnsi="Arial"/>
          <w:sz w:val="22"/>
        </w:rPr>
        <w:t xml:space="preserve"> — RESOLVED. Locked in Scope Lock v2 and now has full test coverage (HP-12, UP-24, UP-25) above.</w:t>
      </w:r>
    </w:p>
    <w:p>
      <w:pPr>
        <w:numPr>
          <w:numId w:val="2"/>
        </w:numPr>
        <w:spacing w:before="120" w:after="120" w:line="288" w:lineRule="auto"/>
        <w:ind w:left="0"/>
        <w:jc w:val="left"/>
      </w:pPr>
      <w:r>
        <w:rPr>
          <w:rFonts w:eastAsia="等线" w:ascii="Arial" w:cs="Arial" w:hAnsi="Arial"/>
          <w:b w:val="true"/>
          <w:sz w:val="22"/>
        </w:rPr>
        <w:t>SO-stage (SL-13)</w:t>
      </w:r>
      <w:r>
        <w:rPr>
          <w:rFonts w:eastAsia="等线" w:ascii="Arial" w:cs="Arial" w:hAnsi="Arial"/>
          <w:sz w:val="22"/>
        </w:rPr>
        <w:t xml:space="preserve"> — RESOLVED to LOCKED (SUPERSEDED) at HIGH confidence (2026-07-19, written confirmation applied to Scope Lock v2). No longer a live risk.</w:t>
      </w:r>
    </w:p>
    <w:p>
      <w:pPr>
        <w:numPr>
          <w:numId w:val="3"/>
        </w:numPr>
        <w:spacing w:before="120" w:after="120" w:line="288" w:lineRule="auto"/>
        <w:ind w:left="0"/>
        <w:jc w:val="left"/>
      </w:pPr>
      <w:r>
        <w:rPr>
          <w:rFonts w:eastAsia="等线" w:ascii="Arial" w:cs="Arial" w:hAnsi="Arial"/>
          <w:b w:val="true"/>
          <w:sz w:val="22"/>
        </w:rPr>
        <w:t>Pricing logic (SL-10)</w:t>
      </w:r>
      <w:r>
        <w:rPr>
          <w:rFonts w:eastAsia="等线" w:ascii="Arial" w:cs="Arial" w:hAnsi="Arial"/>
          <w:sz w:val="22"/>
        </w:rPr>
        <w:t xml:space="preserve"> — RESOLVED to LOCKED (2026-07-22, owner-confirmed). Both open mechanics closed: chatbot surfaces last-few-order price history per customer+item (staff decides manually, not auto-suggested), and standard AutoCount price auto-applies as fallback when no history exists. Now has full test coverage (HP-13, UP-26, UP-27) above.</w:t>
      </w:r>
    </w:p>
    <w:p>
      <w:pPr>
        <w:numPr>
          <w:numId w:val="4"/>
        </w:numPr>
        <w:spacing w:before="120" w:after="120" w:line="288" w:lineRule="auto"/>
        <w:ind w:left="0"/>
        <w:jc w:val="left"/>
      </w:pPr>
      <w:r>
        <w:rPr>
          <w:rFonts w:eastAsia="等线" w:ascii="Arial" w:cs="Arial" w:hAnsi="Arial"/>
          <w:b w:val="true"/>
          <w:sz w:val="22"/>
        </w:rPr>
        <w:t>SL-11 unblock mechanism</w:t>
      </w:r>
      <w:r>
        <w:rPr>
          <w:rFonts w:eastAsia="等线" w:ascii="Arial" w:cs="Arial" w:hAnsi="Arial"/>
          <w:sz w:val="22"/>
        </w:rPr>
        <w:t xml:space="preserve"> — resolved via Ivan (Vendor/Dev) confirmation, not via the accountant/Ms Tan as earlier docs assumed. Worth noting so the AutoCount-dealer conversation isn't re-opened unnecessarily.</w:t>
      </w:r>
    </w:p>
    <w:p>
      <w:pPr>
        <w:numPr>
          <w:numId w:val="5"/>
        </w:numPr>
        <w:spacing w:before="120" w:after="120" w:line="288" w:lineRule="auto"/>
        <w:ind w:left="0"/>
        <w:jc w:val="left"/>
      </w:pPr>
      <w:r>
        <w:rPr>
          <w:rFonts w:eastAsia="等线" w:ascii="Arial" w:cs="Arial" w:hAnsi="Arial"/>
          <w:b w:val="true"/>
          <w:sz w:val="22"/>
        </w:rPr>
        <w:t>Coordinator / warehouse / driver roles</w:t>
      </w:r>
      <w:r>
        <w:rPr>
          <w:rFonts w:eastAsia="等线" w:ascii="Arial" w:cs="Arial" w:hAnsi="Arial"/>
          <w:sz w:val="22"/>
        </w:rPr>
        <w:t xml:space="preserve"> — VoC's own coverage gate flags these as BELIEVED, not CONFIRMED (owner described them secondhand, they never spoke in the source transcript). Several test cases above (UP-04, UP-05, HP-02, HP-05, HP-09, UP-18) assign these roles as testers on the assumption the process the owner described is accurate. NEEDS CLIENT INPUT to confirm actual named testers before UAT execution — tracked as a sign-off agenda item in the End-user &amp; Process Map (§6, item #2).</w:t>
      </w:r>
    </w:p>
    <w:p>
      <w:pPr>
        <w:numPr>
          <w:numId w:val="6"/>
        </w:numPr>
        <w:spacing w:before="120" w:after="120" w:line="288" w:lineRule="auto"/>
        <w:ind w:left="0"/>
        <w:jc w:val="left"/>
      </w:pPr>
      <w:r>
        <w:rPr>
          <w:rFonts w:eastAsia="等线" w:ascii="Arial" w:cs="Arial" w:hAnsi="Arial"/>
          <w:b w:val="true"/>
          <w:sz w:val="22"/>
        </w:rPr>
        <w:t>End-user &amp; Process Map now exists</w:t>
      </w:r>
      <w:r>
        <w:rPr>
          <w:rFonts w:eastAsia="等线" w:ascii="Arial" w:cs="Arial" w:hAnsi="Arial"/>
          <w:sz w:val="22"/>
        </w:rPr>
        <w:t xml:space="preserve"> (built 2026-07-13) — role/actor assignments above are current against it; named-tester confirmation for coordinator/warehouse/driver roles remains the one open item, carried in the Map's sign-off agenda rather than as a missing artifact.</w:t>
      </w:r>
    </w:p>
    <w:p>
      <w:pPr>
        <w:numPr>
          <w:numId w:val="7"/>
        </w:numPr>
        <w:spacing w:before="120" w:after="120" w:line="288" w:lineRule="auto"/>
        <w:ind w:left="0"/>
        <w:jc w:val="left"/>
      </w:pPr>
      <w:r>
        <w:rPr>
          <w:rFonts w:eastAsia="等线" w:ascii="Arial" w:cs="Arial" w:hAnsi="Arial"/>
          <w:b w:val="true"/>
          <w:sz w:val="22"/>
        </w:rPr>
        <w:t>Test data</w:t>
      </w:r>
      <w:r>
        <w:rPr>
          <w:rFonts w:eastAsia="等线" w:ascii="Arial" w:cs="Arial" w:hAnsi="Arial"/>
          <w:sz w:val="22"/>
        </w:rPr>
        <w:t xml:space="preserve"> — all "sample" data placeholders above need real Dalson data (customer records, SKUs, sample POs) per VOC-005/VOC-008 export request; none of it should be fabricated at execution time.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 w:id="21"/>
      <w:r>
        <w:rPr>
          <w:rFonts w:eastAsia="等线" w:ascii="Arial" w:cs="Arial" w:hAnsi="Arial"/>
          <w:b w:val="true"/>
          <w:sz w:val="32"/>
        </w:rPr>
        <w:t>Verdict</w:t>
      </w:r>
      <w:bookmarkEnd w:id="21"/>
    </w:p>
    <w:p>
      <w:pPr>
        <w:spacing w:before="120" w:after="120" w:line="288" w:lineRule="auto"/>
        <w:ind w:left="0"/>
        <w:jc w:val="left"/>
      </w:pPr>
      <w:r>
        <w:rPr>
          <w:rFonts w:eastAsia="等线" w:ascii="Arial" w:cs="Arial" w:hAnsi="Arial"/>
          <w:b w:val="true"/>
          <w:sz w:val="22"/>
        </w:rPr>
        <w:t>13 of 17 scope items are testable this cycle</w:t>
      </w:r>
      <w:r>
        <w:rPr>
          <w:rFonts w:eastAsia="等线" w:ascii="Arial" w:cs="Arial" w:hAnsi="Arial"/>
          <w:sz w:val="22"/>
        </w:rPr>
        <w:t xml:space="preserve"> (unchanged since 2026-07-22). The checklist above covers all 13 with ≥1 happy + ≥2 unhappy cases each. SL-12 and SL-14 are now both LOCKED (as of 2026-07-31) but neither is testable this cycle for different reasons — SL-12's mechanism isn't turned on in the live environment, and SL-14 has no test cases written yet (a real coverage gap, tracked, not a scope exclusion). SL-15/SL-16 remain correctly OOS. Plus one confirmed BLOCKING gap outside the 17 SL-ids (Cash Sales Invoice support) and one sub-question (e-invoice mandatory fields) still needing scoping. No </w:t>
      </w:r>
      <w:r>
        <w:rPr>
          <w:rFonts w:eastAsia="等线" w:ascii="Arial" w:cs="Arial" w:hAnsi="Arial"/>
          <w:i w:val="true"/>
          <w:sz w:val="22"/>
        </w:rPr>
        <w:t>tested</w:t>
      </w:r>
      <w:r>
        <w:rPr>
          <w:rFonts w:eastAsia="等线" w:ascii="Arial" w:cs="Arial" w:hAnsi="Arial"/>
          <w:sz w:val="22"/>
        </w:rPr>
        <w:t xml:space="preserve"> locked item is missing coverage — SL-14 is the one locked item with a genuine test-writing gap to close before it can be executed.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2" w:id="22"/>
      <w:r>
        <w:rPr>
          <w:rFonts w:eastAsia="等线" w:ascii="Arial" w:cs="Arial" w:hAnsi="Arial"/>
          <w:b w:val="true"/>
          <w:sz w:val="32"/>
        </w:rPr>
        <w:t>See Also</w:t>
      </w:r>
      <w:bookmarkEnd w:id="22"/>
    </w:p>
    <w:p>
      <w:pPr>
        <w:numPr>
          <w:numId w:val="8"/>
        </w:numPr>
        <w:spacing w:before="120" w:after="120" w:line="288" w:lineRule="auto"/>
        <w:ind w:left="0"/>
        <w:jc w:val="left"/>
      </w:pPr>
      <w:r>
        <w:rPr>
          <w:rFonts w:eastAsia="等线" w:ascii="Arial" w:cs="Arial" w:hAnsi="Arial"/>
          <w:sz w:val="22"/>
        </w:rPr>
        <w:t>[[Dalson — VoC Extraction]]</w:t>
      </w:r>
    </w:p>
    <w:p>
      <w:pPr>
        <w:numPr>
          <w:numId w:val="9"/>
        </w:numPr>
        <w:spacing w:before="120" w:after="120" w:line="288" w:lineRule="auto"/>
        <w:ind w:left="0"/>
        <w:jc w:val="left"/>
      </w:pPr>
      <w:r>
        <w:rPr>
          <w:rFonts w:eastAsia="等线" w:ascii="Arial" w:cs="Arial" w:hAnsi="Arial"/>
          <w:sz w:val="22"/>
        </w:rPr>
        <w:t>[[Dalson — Lens Alignment Report]]</w:t>
      </w:r>
    </w:p>
    <w:p>
      <w:pPr>
        <w:numPr>
          <w:numId w:val="10"/>
        </w:numPr>
        <w:spacing w:before="120" w:after="120" w:line="288" w:lineRule="auto"/>
        <w:ind w:left="0"/>
        <w:jc w:val="left"/>
      </w:pPr>
      <w:r>
        <w:rPr>
          <w:rFonts w:eastAsia="等线" w:ascii="Arial" w:cs="Arial" w:hAnsi="Arial"/>
          <w:sz w:val="22"/>
        </w:rPr>
        <w:t>Scope Lock v2 — Dalson Industrial Supplies (Lark)</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1444">
    <w:lvl>
      <w:numFmt w:val="bullet"/>
      <w:suff w:val="tab"/>
      <w:lvlText w:val="•"/>
      <w:rPr>
        <w:color w:val="3370ff"/>
      </w:rPr>
    </w:lvl>
  </w:abstractNum>
  <w:abstractNum w:abstractNumId="31445">
    <w:lvl>
      <w:numFmt w:val="bullet"/>
      <w:suff w:val="tab"/>
      <w:lvlText w:val="•"/>
      <w:rPr>
        <w:color w:val="3370ff"/>
      </w:rPr>
    </w:lvl>
  </w:abstractNum>
  <w:abstractNum w:abstractNumId="31446">
    <w:lvl>
      <w:numFmt w:val="bullet"/>
      <w:suff w:val="tab"/>
      <w:lvlText w:val="•"/>
      <w:rPr>
        <w:color w:val="3370ff"/>
      </w:rPr>
    </w:lvl>
  </w:abstractNum>
  <w:abstractNum w:abstractNumId="31447">
    <w:lvl>
      <w:numFmt w:val="bullet"/>
      <w:suff w:val="tab"/>
      <w:lvlText w:val="•"/>
      <w:rPr>
        <w:color w:val="3370ff"/>
      </w:rPr>
    </w:lvl>
  </w:abstractNum>
  <w:abstractNum w:abstractNumId="31448">
    <w:lvl>
      <w:numFmt w:val="bullet"/>
      <w:suff w:val="tab"/>
      <w:lvlText w:val="•"/>
      <w:rPr>
        <w:color w:val="3370ff"/>
      </w:rPr>
    </w:lvl>
  </w:abstractNum>
  <w:abstractNum w:abstractNumId="31449">
    <w:lvl>
      <w:numFmt w:val="bullet"/>
      <w:suff w:val="tab"/>
      <w:lvlText w:val="•"/>
      <w:rPr>
        <w:color w:val="3370ff"/>
      </w:rPr>
    </w:lvl>
  </w:abstractNum>
  <w:abstractNum w:abstractNumId="31450">
    <w:lvl>
      <w:numFmt w:val="bullet"/>
      <w:suff w:val="tab"/>
      <w:lvlText w:val="•"/>
      <w:rPr>
        <w:color w:val="3370ff"/>
      </w:rPr>
    </w:lvl>
  </w:abstractNum>
  <w:abstractNum w:abstractNumId="31451">
    <w:lvl>
      <w:numFmt w:val="bullet"/>
      <w:suff w:val="tab"/>
      <w:lvlText w:val="•"/>
      <w:rPr>
        <w:color w:val="3370ff"/>
      </w:rPr>
    </w:lvl>
  </w:abstractNum>
  <w:abstractNum w:abstractNumId="31452">
    <w:lvl>
      <w:numFmt w:val="bullet"/>
      <w:suff w:val="tab"/>
      <w:lvlText w:val="•"/>
      <w:rPr>
        <w:color w:val="3370ff"/>
      </w:rPr>
    </w:lvl>
  </w:abstractNum>
  <w:abstractNum w:abstractNumId="31453">
    <w:lvl>
      <w:numFmt w:val="bullet"/>
      <w:suff w:val="tab"/>
      <w:lvlText w:val="•"/>
      <w:rPr>
        <w:color w:val="3370ff"/>
      </w:rPr>
    </w:lvl>
  </w:abstractNum>
  <w:num w:numId="1">
    <w:abstractNumId w:val="31444"/>
  </w:num>
  <w:num w:numId="2">
    <w:abstractNumId w:val="31445"/>
  </w:num>
  <w:num w:numId="3">
    <w:abstractNumId w:val="31446"/>
  </w:num>
  <w:num w:numId="4">
    <w:abstractNumId w:val="31447"/>
  </w:num>
  <w:num w:numId="5">
    <w:abstractNumId w:val="31448"/>
  </w:num>
  <w:num w:numId="6">
    <w:abstractNumId w:val="31449"/>
  </w:num>
  <w:num w:numId="7">
    <w:abstractNumId w:val="31450"/>
  </w:num>
  <w:num w:numId="8">
    <w:abstractNumId w:val="31451"/>
  </w:num>
  <w:num w:numId="9">
    <w:abstractNumId w:val="31452"/>
  </w:num>
  <w:num w:numId="10">
    <w:abstractNumId w:val="3145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eg69120xnei.sg.larksuite.com/wiki/L5E8wsDWHilVDkku64ZlmHxSgGd" TargetMode="External" Type="http://schemas.openxmlformats.org/officeDocument/2006/relationships/hyperlink"/><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2026-08-06T18:03:57Z</dcterms:created>
  <dc:creator>Apache POI</dc:creator>
</cp:coreProperties>
</file>