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Dalson MAIA — UAT Input Library (Start Here)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Start Here — UAT Input Library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How this library works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Most Dalson missions let you choose your own customer, item, and order straight from your UAT account — you don't wait for someone to hand you an exact record.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folder only supplies the things that genuinely need to be reusable or synthetic: Purchase Order format/clarity samples, POD photo samples, and a new-customer/item field example.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Mission Card in the Field Guide tells you exactly what your chosen data must satisfy — check that before you start.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do not need an exact customer or SKU unless a Mission Card explicitly names one (none currently do).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reusable samples in this folder → report to the UAT owner.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Missing test-account data (e.g. you can't find a non-tracked SKU) → mark </w:t>
      </w:r>
      <w:r>
        <w:rPr>
          <w:rFonts w:eastAsia="等线" w:ascii="Arial" w:cs="Arial" w:hAnsi="Arial"/>
          <w:b w:val="true"/>
          <w:sz w:val="22"/>
        </w:rPr>
        <w:t>Blocked — Test Data/Configuration</w:t>
      </w:r>
      <w:r>
        <w:rPr>
          <w:rFonts w:eastAsia="等线" w:ascii="Arial" w:cs="Arial" w:hAnsi="Arial"/>
          <w:sz w:val="22"/>
        </w:rPr>
        <w:t>, not a product defect.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Something behaving oddly in an area flagged as </w:t>
      </w:r>
      <w:r>
        <w:rPr>
          <w:rFonts w:eastAsia="等线" w:ascii="Arial" w:cs="Arial" w:hAnsi="Arial"/>
          <w:b w:val="true"/>
          <w:sz w:val="22"/>
        </w:rPr>
        <w:t>NS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等线" w:ascii="Arial" w:cs="Arial" w:hAnsi="Arial"/>
          <w:b w:val="true"/>
          <w:sz w:val="22"/>
        </w:rPr>
        <w:t>Out of Bounds</w:t>
      </w:r>
      <w:r>
        <w:rPr>
          <w:rFonts w:eastAsia="等线" w:ascii="Arial" w:cs="Arial" w:hAnsi="Arial"/>
          <w:sz w:val="22"/>
        </w:rPr>
        <w:t xml:space="preserve"> in the Field Guide (Section 4) → log an </w:t>
      </w:r>
      <w:r>
        <w:rPr>
          <w:rFonts w:eastAsia="等线" w:ascii="Arial" w:cs="Arial" w:hAnsi="Arial"/>
          <w:b w:val="true"/>
          <w:sz w:val="22"/>
        </w:rPr>
        <w:t>Observation</w:t>
      </w:r>
      <w:r>
        <w:rPr>
          <w:rFonts w:eastAsia="等线" w:ascii="Arial" w:cs="Arial" w:hAnsi="Arial"/>
          <w:sz w:val="22"/>
        </w:rPr>
        <w:t>, not a bug.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Folder index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Dalson_UAT_Input_Library/</w:t>
              <w:br/>
              <w:t>├── 00_START_HERE_INPUT_LIBRARY.md</w:t>
              <w:br/>
              <w:t>├── 01_Purchase_Order_Samples/</w:t>
              <w:br/>
              <w:t>├── 02_POD_Photos/</w:t>
              <w:br/>
            </w:r>
            <w:r>
              <w:rPr>
                <w:rFonts w:eastAsia="Consolas" w:ascii="Consolas" w:cs="Consolas" w:hAnsi="Consolas"/>
                <w:sz w:val="22"/>
              </w:rPr>
              <w:t>└── 03_New_Customer_Item_Examples/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3 folders — Dalson's evidence base (12 locked scope items, most testable directly from existing UAT-account data) doesn't call for more. No fixed regression fixtures are required for this cycle (see the Launch Readiness Checklist, Section 6), so there's no dedicated fixtures folder.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01_Purchase_Order_Samples/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it exists:</w:t>
      </w:r>
      <w:r>
        <w:rPr>
          <w:rFonts w:eastAsia="等线" w:ascii="Arial" w:cs="Arial" w:hAnsi="Arial"/>
          <w:sz w:val="22"/>
        </w:rPr>
        <w:t xml:space="preserve"> Dalson's #1 named pain point is customer PO wording not matching internal SKU names — testers need format/clarity variety to exercise this realistically, not a specific customer's real PO.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Used by:</w:t>
      </w:r>
      <w:r>
        <w:rPr>
          <w:rFonts w:eastAsia="等线" w:ascii="Arial" w:cs="Arial" w:hAnsi="Arial"/>
          <w:sz w:val="22"/>
        </w:rPr>
        <w:t xml:space="preserve"> Mission M-02, Boss Fight BF-01, Boss Fight BF-02.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reusable pool:</w:t>
      </w:r>
      <w:r>
        <w:rPr>
          <w:rFonts w:eastAsia="等线" w:ascii="Arial" w:cs="Arial" w:hAnsi="Arial"/>
          <w:sz w:val="22"/>
        </w:rPr>
        <w:t xml:space="preserve"> 3–5 samples covering a clean/readable PO, a blurry or cropped one, and a garbled/incomplete one.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Testers choose freely:</w:t>
      </w:r>
      <w:r>
        <w:rPr>
          <w:rFonts w:eastAsia="等线" w:ascii="Arial" w:cs="Arial" w:hAnsi="Arial"/>
          <w:sz w:val="22"/>
        </w:rPr>
        <w:t xml:space="preserve"> which customer and item the PO is "for" (pick any active ones from your UAT account); the exact wording you use.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 team prepares:</w:t>
      </w:r>
      <w:r>
        <w:rPr>
          <w:rFonts w:eastAsia="等线" w:ascii="Arial" w:cs="Arial" w:hAnsi="Arial"/>
          <w:sz w:val="22"/>
        </w:rPr>
        <w:t xml:space="preserve"> 2–3 illustrative reference samples showing the range of clarity/format testers should expect to encounter — these are tone references, not scripts to copy verbatim.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02_POD_Photos/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it exists:</w:t>
      </w:r>
      <w:r>
        <w:rPr>
          <w:rFonts w:eastAsia="等线" w:ascii="Arial" w:cs="Arial" w:hAnsi="Arial"/>
          <w:sz w:val="22"/>
        </w:rPr>
        <w:t xml:space="preserve"> Mission M-05 needs a delivery photo to attach as proof of delivery; the real driver identity isn't confirmed yet, so this can't come from a live delivery.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Used by:</w:t>
      </w:r>
      <w:r>
        <w:rPr>
          <w:rFonts w:eastAsia="等线" w:ascii="Arial" w:cs="Arial" w:hAnsi="Arial"/>
          <w:sz w:val="22"/>
        </w:rPr>
        <w:t xml:space="preserve"> Mission M-05.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reusable pool:</w:t>
      </w:r>
      <w:r>
        <w:rPr>
          <w:rFonts w:eastAsia="等线" w:ascii="Arial" w:cs="Arial" w:hAnsi="Arial"/>
          <w:sz w:val="22"/>
        </w:rPr>
        <w:t xml:space="preserve"> 1–2 synthetic delivery photos.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Testers choose freely:</w:t>
      </w:r>
      <w:r>
        <w:rPr>
          <w:rFonts w:eastAsia="等线" w:ascii="Arial" w:cs="Arial" w:hAnsi="Arial"/>
          <w:sz w:val="22"/>
        </w:rPr>
        <w:t xml:space="preserve"> which order to attach the photo to.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 team prepares:</w:t>
      </w:r>
      <w:r>
        <w:rPr>
          <w:rFonts w:eastAsia="等线" w:ascii="Arial" w:cs="Arial" w:hAnsi="Arial"/>
          <w:sz w:val="22"/>
        </w:rPr>
        <w:t xml:space="preserve"> the sample photo(s) themselves — any generic, non-identifying delivery-style image works.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03_New_Customer_Item_Examples/</w:t>
      </w:r>
      <w:bookmarkEnd w:id="5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it exists:</w:t>
      </w:r>
      <w:r>
        <w:rPr>
          <w:rFonts w:eastAsia="等线" w:ascii="Arial" w:cs="Arial" w:hAnsi="Arial"/>
          <w:sz w:val="22"/>
        </w:rPr>
        <w:t xml:space="preserve"> Mission M-10 (chatbot-based customer/item creation) needs testers to invent plausible new records — a field-layout example prevents testers from guessing at what "complete" looks like.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Used by:</w:t>
      </w:r>
      <w:r>
        <w:rPr>
          <w:rFonts w:eastAsia="等线" w:ascii="Arial" w:cs="Arial" w:hAnsi="Arial"/>
          <w:sz w:val="22"/>
        </w:rPr>
        <w:t xml:space="preserve"> Mission M-10.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reusable pool:</w:t>
      </w:r>
      <w:r>
        <w:rPr>
          <w:rFonts w:eastAsia="等线" w:ascii="Arial" w:cs="Arial" w:hAnsi="Arial"/>
          <w:sz w:val="22"/>
        </w:rPr>
        <w:t xml:space="preserve"> 1–2 example field layouts (what a complete new-customer entry and a complete new-item entry look like).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Testers choose freely:</w:t>
      </w:r>
      <w:r>
        <w:rPr>
          <w:rFonts w:eastAsia="等线" w:ascii="Arial" w:cs="Arial" w:hAnsi="Arial"/>
          <w:sz w:val="22"/>
        </w:rPr>
        <w:t xml:space="preserve"> the actual name/values they invent for their test customer/item.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 team prepares:</w:t>
      </w:r>
      <w:r>
        <w:rPr>
          <w:rFonts w:eastAsia="等线" w:ascii="Arial" w:cs="Arial" w:hAnsi="Arial"/>
          <w:sz w:val="22"/>
        </w:rPr>
        <w:t xml:space="preserve"> the example layout only, not real data.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Input category guide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3195"/>
        <w:gridCol w:w="1230"/>
        <w:gridCol w:w="1485"/>
        <w:gridCol w:w="121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 category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Folder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 mission(s)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sample types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testers choose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Purchase Orders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01_Purchase_Order_Samples/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M-02, BF-01, BF-02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Clean, blurry/cropped, garbled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clarity level needed for the test; invent customer/item/wording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photos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02_POD_Photos/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1–2 synthetic photos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Attach to any order you're testing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customer/item examples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03_New_Customer_Item_Examples/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M-10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1–2 field-layout examples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 your own values following the layout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Fixed fixtures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NONE.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Folder rules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rename fixed fixtures after the Field Guide is generated — not applicable this cycle (none exist), but keep this rule in mind if one is added later.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overwrite originals in this folder.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copies before cropping, blurring, annotating, or editing any sample.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synthetic or sanitised data only — no real Dalson customer information.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tester evidence outputs (screenshots, logs) outside this library, in the bug/XP tracker instead.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create mission-specific subfolders beyond the three above.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5210">
    <w:lvl>
      <w:numFmt w:val="bullet"/>
      <w:suff w:val="tab"/>
      <w:lvlText w:val="•"/>
      <w:rPr>
        <w:color w:val="3370ff"/>
      </w:rPr>
    </w:lvl>
  </w:abstractNum>
  <w:abstractNum w:abstractNumId="165211">
    <w:lvl>
      <w:numFmt w:val="bullet"/>
      <w:suff w:val="tab"/>
      <w:lvlText w:val="•"/>
      <w:rPr>
        <w:color w:val="3370ff"/>
      </w:rPr>
    </w:lvl>
  </w:abstractNum>
  <w:abstractNum w:abstractNumId="165212">
    <w:lvl>
      <w:numFmt w:val="bullet"/>
      <w:suff w:val="tab"/>
      <w:lvlText w:val="•"/>
      <w:rPr>
        <w:color w:val="3370ff"/>
      </w:rPr>
    </w:lvl>
  </w:abstractNum>
  <w:abstractNum w:abstractNumId="165213">
    <w:lvl>
      <w:numFmt w:val="bullet"/>
      <w:suff w:val="tab"/>
      <w:lvlText w:val="•"/>
      <w:rPr>
        <w:color w:val="3370ff"/>
      </w:rPr>
    </w:lvl>
  </w:abstractNum>
  <w:abstractNum w:abstractNumId="165214">
    <w:lvl>
      <w:numFmt w:val="bullet"/>
      <w:suff w:val="tab"/>
      <w:lvlText w:val="•"/>
      <w:rPr>
        <w:color w:val="3370ff"/>
      </w:rPr>
    </w:lvl>
  </w:abstractNum>
  <w:abstractNum w:abstractNumId="165215">
    <w:lvl>
      <w:numFmt w:val="bullet"/>
      <w:suff w:val="tab"/>
      <w:lvlText w:val="•"/>
      <w:rPr>
        <w:color w:val="3370ff"/>
      </w:rPr>
    </w:lvl>
  </w:abstractNum>
  <w:abstractNum w:abstractNumId="165216">
    <w:lvl>
      <w:numFmt w:val="bullet"/>
      <w:suff w:val="tab"/>
      <w:lvlText w:val="•"/>
      <w:rPr>
        <w:color w:val="3370ff"/>
      </w:rPr>
    </w:lvl>
  </w:abstractNum>
  <w:abstractNum w:abstractNumId="165217">
    <w:lvl>
      <w:numFmt w:val="bullet"/>
      <w:suff w:val="tab"/>
      <w:lvlText w:val="•"/>
      <w:rPr>
        <w:color w:val="3370ff"/>
      </w:rPr>
    </w:lvl>
  </w:abstractNum>
  <w:abstractNum w:abstractNumId="165218">
    <w:lvl>
      <w:numFmt w:val="bullet"/>
      <w:suff w:val="tab"/>
      <w:lvlText w:val="•"/>
      <w:rPr>
        <w:color w:val="3370ff"/>
      </w:rPr>
    </w:lvl>
  </w:abstractNum>
  <w:abstractNum w:abstractNumId="165219">
    <w:lvl>
      <w:numFmt w:val="bullet"/>
      <w:suff w:val="tab"/>
      <w:lvlText w:val="•"/>
      <w:rPr>
        <w:color w:val="3370ff"/>
      </w:rPr>
    </w:lvl>
  </w:abstractNum>
  <w:abstractNum w:abstractNumId="165220">
    <w:lvl>
      <w:numFmt w:val="bullet"/>
      <w:suff w:val="tab"/>
      <w:lvlText w:val="•"/>
      <w:rPr>
        <w:color w:val="3370ff"/>
      </w:rPr>
    </w:lvl>
  </w:abstractNum>
  <w:abstractNum w:abstractNumId="165221">
    <w:lvl>
      <w:numFmt w:val="bullet"/>
      <w:suff w:val="tab"/>
      <w:lvlText w:val="•"/>
      <w:rPr>
        <w:color w:val="3370ff"/>
      </w:rPr>
    </w:lvl>
  </w:abstractNum>
  <w:abstractNum w:abstractNumId="165222">
    <w:lvl>
      <w:numFmt w:val="bullet"/>
      <w:suff w:val="tab"/>
      <w:lvlText w:val="•"/>
      <w:rPr>
        <w:color w:val="3370ff"/>
      </w:rPr>
    </w:lvl>
  </w:abstractNum>
  <w:abstractNum w:abstractNumId="165223">
    <w:lvl>
      <w:numFmt w:val="bullet"/>
      <w:suff w:val="tab"/>
      <w:lvlText w:val="•"/>
      <w:rPr>
        <w:color w:val="3370ff"/>
      </w:rPr>
    </w:lvl>
  </w:abstractNum>
  <w:abstractNum w:abstractNumId="165224">
    <w:lvl>
      <w:numFmt w:val="bullet"/>
      <w:suff w:val="tab"/>
      <w:lvlText w:val="•"/>
      <w:rPr>
        <w:color w:val="3370ff"/>
      </w:rPr>
    </w:lvl>
  </w:abstractNum>
  <w:abstractNum w:abstractNumId="165225">
    <w:lvl>
      <w:numFmt w:val="bullet"/>
      <w:suff w:val="tab"/>
      <w:lvlText w:val="•"/>
      <w:rPr>
        <w:color w:val="3370ff"/>
      </w:rPr>
    </w:lvl>
  </w:abstractNum>
  <w:abstractNum w:abstractNumId="165226">
    <w:lvl>
      <w:numFmt w:val="bullet"/>
      <w:suff w:val="tab"/>
      <w:lvlText w:val="•"/>
      <w:rPr>
        <w:color w:val="3370ff"/>
      </w:rPr>
    </w:lvl>
  </w:abstractNum>
  <w:abstractNum w:abstractNumId="165227">
    <w:lvl>
      <w:numFmt w:val="bullet"/>
      <w:suff w:val="tab"/>
      <w:lvlText w:val="•"/>
      <w:rPr>
        <w:color w:val="3370ff"/>
      </w:rPr>
    </w:lvl>
  </w:abstractNum>
  <w:abstractNum w:abstractNumId="165228">
    <w:lvl>
      <w:numFmt w:val="bullet"/>
      <w:suff w:val="tab"/>
      <w:lvlText w:val="•"/>
      <w:rPr>
        <w:color w:val="3370ff"/>
      </w:rPr>
    </w:lvl>
  </w:abstractNum>
  <w:abstractNum w:abstractNumId="165229">
    <w:lvl>
      <w:numFmt w:val="bullet"/>
      <w:suff w:val="tab"/>
      <w:lvlText w:val="•"/>
      <w:rPr>
        <w:color w:val="3370ff"/>
      </w:rPr>
    </w:lvl>
  </w:abstractNum>
  <w:abstractNum w:abstractNumId="165230">
    <w:lvl>
      <w:numFmt w:val="bullet"/>
      <w:suff w:val="tab"/>
      <w:lvlText w:val="•"/>
      <w:rPr>
        <w:color w:val="3370ff"/>
      </w:rPr>
    </w:lvl>
  </w:abstractNum>
  <w:abstractNum w:abstractNumId="165231">
    <w:lvl>
      <w:numFmt w:val="bullet"/>
      <w:suff w:val="tab"/>
      <w:lvlText w:val="•"/>
      <w:rPr>
        <w:color w:val="3370ff"/>
      </w:rPr>
    </w:lvl>
  </w:abstractNum>
  <w:abstractNum w:abstractNumId="165232">
    <w:lvl>
      <w:numFmt w:val="bullet"/>
      <w:suff w:val="tab"/>
      <w:lvlText w:val="•"/>
      <w:rPr>
        <w:color w:val="3370ff"/>
      </w:rPr>
    </w:lvl>
  </w:abstractNum>
  <w:abstractNum w:abstractNumId="165233">
    <w:lvl>
      <w:numFmt w:val="bullet"/>
      <w:suff w:val="tab"/>
      <w:lvlText w:val="•"/>
      <w:rPr>
        <w:color w:val="3370ff"/>
      </w:rPr>
    </w:lvl>
  </w:abstractNum>
  <w:abstractNum w:abstractNumId="165234">
    <w:lvl>
      <w:numFmt w:val="bullet"/>
      <w:suff w:val="tab"/>
      <w:lvlText w:val="•"/>
      <w:rPr>
        <w:color w:val="3370ff"/>
      </w:rPr>
    </w:lvl>
  </w:abstractNum>
  <w:abstractNum w:abstractNumId="165235">
    <w:lvl>
      <w:numFmt w:val="bullet"/>
      <w:suff w:val="tab"/>
      <w:lvlText w:val="•"/>
      <w:rPr>
        <w:color w:val="3370ff"/>
      </w:rPr>
    </w:lvl>
  </w:abstractNum>
  <w:abstractNum w:abstractNumId="165236">
    <w:lvl>
      <w:numFmt w:val="bullet"/>
      <w:suff w:val="tab"/>
      <w:lvlText w:val="•"/>
      <w:rPr>
        <w:color w:val="3370ff"/>
      </w:rPr>
    </w:lvl>
  </w:abstractNum>
  <w:abstractNum w:abstractNumId="165237">
    <w:lvl>
      <w:numFmt w:val="bullet"/>
      <w:suff w:val="tab"/>
      <w:lvlText w:val="•"/>
      <w:rPr>
        <w:color w:val="3370ff"/>
      </w:rPr>
    </w:lvl>
  </w:abstractNum>
  <w:num w:numId="1">
    <w:abstractNumId w:val="165210"/>
  </w:num>
  <w:num w:numId="2">
    <w:abstractNumId w:val="165211"/>
  </w:num>
  <w:num w:numId="3">
    <w:abstractNumId w:val="165212"/>
  </w:num>
  <w:num w:numId="4">
    <w:abstractNumId w:val="165213"/>
  </w:num>
  <w:num w:numId="5">
    <w:abstractNumId w:val="165214"/>
  </w:num>
  <w:num w:numId="6">
    <w:abstractNumId w:val="165215"/>
  </w:num>
  <w:num w:numId="7">
    <w:abstractNumId w:val="165216"/>
  </w:num>
  <w:num w:numId="8">
    <w:abstractNumId w:val="165217"/>
  </w:num>
  <w:num w:numId="9">
    <w:abstractNumId w:val="165218"/>
  </w:num>
  <w:num w:numId="10">
    <w:abstractNumId w:val="165219"/>
  </w:num>
  <w:num w:numId="11">
    <w:abstractNumId w:val="165220"/>
  </w:num>
  <w:num w:numId="12">
    <w:abstractNumId w:val="165221"/>
  </w:num>
  <w:num w:numId="13">
    <w:abstractNumId w:val="165222"/>
  </w:num>
  <w:num w:numId="14">
    <w:abstractNumId w:val="165223"/>
  </w:num>
  <w:num w:numId="15">
    <w:abstractNumId w:val="165224"/>
  </w:num>
  <w:num w:numId="16">
    <w:abstractNumId w:val="165225"/>
  </w:num>
  <w:num w:numId="17">
    <w:abstractNumId w:val="165226"/>
  </w:num>
  <w:num w:numId="18">
    <w:abstractNumId w:val="165227"/>
  </w:num>
  <w:num w:numId="19">
    <w:abstractNumId w:val="165228"/>
  </w:num>
  <w:num w:numId="20">
    <w:abstractNumId w:val="165229"/>
  </w:num>
  <w:num w:numId="21">
    <w:abstractNumId w:val="165230"/>
  </w:num>
  <w:num w:numId="22">
    <w:abstractNumId w:val="165231"/>
  </w:num>
  <w:num w:numId="23">
    <w:abstractNumId w:val="165232"/>
  </w:num>
  <w:num w:numId="24">
    <w:abstractNumId w:val="165233"/>
  </w:num>
  <w:num w:numId="25">
    <w:abstractNumId w:val="165234"/>
  </w:num>
  <w:num w:numId="26">
    <w:abstractNumId w:val="165235"/>
  </w:num>
  <w:num w:numId="27">
    <w:abstractNumId w:val="165236"/>
  </w:num>
  <w:num w:numId="28">
    <w:abstractNumId w:val="1652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2026-08-06T18:04:08Z</dcterms:created>
  <dc:creator>Apache POI</dc:creator>
</cp:coreProperties>
</file>