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Dalson MAIA — UAT Launch Readiness Checklist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MAIA — UAT Launch Readiness Checklist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Launch verdict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USABLE WITH GAPS.</w:t>
      </w:r>
      <w:r>
        <w:rPr>
          <w:rFonts w:eastAsia="等线" w:ascii="Arial" w:cs="Arial" w:hAnsi="Arial"/>
          <w:sz w:val="22"/>
        </w:rPr>
        <w:t xml:space="preserve"> All 12 LOCKED scope items have full Mission coverage and the Field Guide is complete and Lark-ready. Test window, environment access, and the bug-reporting channel are now confirmed (Section 2). Remaining gaps: XP tracker link, a named UAT owner, and the time budget vs. the confirmed 60-minute window (see warning below) — plus one identity gap (the driver role is unconfirmed, so M-05 must be played by a stand-in). Nothing here blocks distributing the pack once these are closed.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Time-budget warning: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the confirmed test window is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60 minutes on 20 July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. This pack's own estimate (12 missions × ~10 min + 3 Boss Fights × ~14 min) runs closer to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~3 hours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for full completion. Recommend either scoping this session to the Speedrun set (M-07, M-08, M-11, M-12 — the P1-risk flows) or splitting the campaign across multiple sessions. Flag to the UAT owner before distribution.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Missing project variables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75"/>
        <w:gridCol w:w="3075"/>
        <w:gridCol w:w="1035"/>
        <w:gridCol w:w="1110"/>
      </w:tblGrid>
      <w:tr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Variable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 value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Required action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Blocking?</w:t>
            </w:r>
          </w:p>
        </w:tc>
      </w:tr>
      <w:tr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TEST_WINDOW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 July, 60 minutes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See time-budget warning above — confirm Speedrun vs full campaign scope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longer missing — scope decision needed</w:t>
            </w:r>
          </w:p>
        </w:tc>
      </w:tr>
      <w:tr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ENVIRONMENT_AND_ACCESS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https://maia-fe-dalson.vercel.app/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Telegram : @maia_dalson_bot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longer missing</w:t>
            </w:r>
          </w:p>
        </w:tc>
      </w:tr>
      <w:tr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INPUT_LIBRARY_FOLDER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Sample Docs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Sample POs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Whatsapp Sample Order Msg</w:t>
              </w:r>
            </w:hyperlink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CURRENT_INPUT_LIBRARY_CONTENTS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00_START_HERE_INPUT_LIBRARY.md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TEST_DATA_ACCESS_NOTES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Covered per-mission in Field Guide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SYSTEMS_TESTERS_CANNOT_ACCESS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 — Dalson's live AutoCount instance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BUG_REPORTING_CHANNEL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QA Testing Tracker</w:t>
              </w:r>
            </w:hyperlink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longer missing</w:t>
            </w:r>
          </w:p>
        </w:tc>
      </w:tr>
      <w:tr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XP_TRACKER_LINK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[NEEDS INPUT]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UAT owner to set (or skip scoring)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— optional</w:t>
            </w:r>
          </w:p>
        </w:tc>
      </w:tr>
      <w:tr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UAT_OWNER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[NEEDS INPUT]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Assign a name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TIME_BUDGET_PER_TESTER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 min confirmed, but see time-budget warning above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UAT owner to estimate (12 missions × ~10 min ≈ 2 hrs + 3 Boss Fights × ~14 min ≈ 42 min → suggest budgeting ~3 hrs)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ANYTHING_ELSE_TESTERS_MUST_KNOW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specified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Preparation action register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50"/>
        <w:gridCol w:w="1170"/>
        <w:gridCol w:w="1125"/>
        <w:gridCol w:w="1590"/>
        <w:gridCol w:w="975"/>
        <w:gridCol w:w="1170"/>
        <w:gridCol w:w="810"/>
        <w:gridCol w:w="705"/>
      </w:tblGrid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 ID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Preparation mode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 / deliverable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Why testers need it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Used by mission(s)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Blocking?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A-01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CONFIGURE IN UAT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Provision a UAT account with staging/migrated AutoCount data loaded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Every mission assumes real-looking customer/item data is browsable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M-01–M-12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[NEEDS INPUT]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started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A-02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CONFIGURE IN UAT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Provision 2 Telegram test accounts — 1 registered as staff, 1 not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M-03 needs both sides of the access-control test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M-03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[NEEDS INPUT]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started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A-03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ACCOUNT OWNER HANDOFF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Give the UAT owner (or a Dalson AutoCount dealer contact) a way to confirm the 4 Beyond Tester Reach criteria after the fact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Testers can't see live AutoCount; someone must close the loop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M-06, M-08, M-10, M-11, BF-03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[NEEDS INPUT]</w:t>
            </w:r>
            <w:r>
              <w:rPr>
                <w:rFonts w:eastAsia="等线" w:ascii="Arial" w:cs="Arial" w:hAnsi="Arial"/>
                <w:sz w:val="22"/>
              </w:rPr>
              <w:t xml:space="preserve"> / Ms Tan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started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A-04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MUST CONFIRM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the driver role identity (or explicitly accept "any staff member plays this persona for UAT")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M-05 currently runs on a stand-in persona by design — worth a final client nod before distribution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M-05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[NEEDS INPUT: UAT_OWNER]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started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— mission is playable either way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A-05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SANITISE BEFORE USE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all customer/item data in the UAT environment is synthetic or properly sanitised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Content-integrity rule — no real customer data in a mass-testing exercise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 missions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[NEEDS INPUT]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started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A-06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AVAILABLE IN TEST ACCOUNTS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testers can find: an active customer not in the migrated set (for M-01's not-found case), an item with 2+ similar SKUs (for M-04/BF-01), a non-tracked SKU (for M-09)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Several missions need a specific </w:t>
            </w:r>
            <w:r>
              <w:rPr>
                <w:rFonts w:eastAsia="等线" w:ascii="Arial" w:cs="Arial" w:hAnsi="Arial"/>
                <w:i w:val="true"/>
                <w:sz w:val="22"/>
              </w:rPr>
              <w:t>kind</w:t>
            </w:r>
            <w:r>
              <w:rPr>
                <w:rFonts w:eastAsia="等线" w:ascii="Arial" w:cs="Arial" w:hAnsi="Arial"/>
                <w:sz w:val="22"/>
              </w:rPr>
              <w:t xml:space="preserve"> of record to exist, not a specific one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M-01, M-04, M-09, BF-01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[NEEDS INPUT]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started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mission in this pack requires a bespoke, product-team-prepared artifact — see Section 5.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 UAT account and selectable-data readiness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1425"/>
        <w:gridCol w:w="1515"/>
        <w:gridCol w:w="1185"/>
        <w:gridCol w:w="960"/>
        <w:gridCol w:w="960"/>
        <w:gridCol w:w="825"/>
      </w:tblGrid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 category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selection criteria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tester finds it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Mission(s)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Blocking?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Active customers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Any customer visible in the UAT account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Browse/search in MAIA or the backend workspace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M-01, M-02, M-04, M-06, M-10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[NEEDS INPUT]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[NEEDS INPUT]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Active items/SKUs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Any item, plus at least 2 similar-SKU pairs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Browse item master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M-04, M-09, M-10, BF-01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[NEEDS INPUT]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[NEEDS INPUT]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Existing invoice with a returned item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Any invoice tester can reference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Browse invoices in UAT account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M-08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[NEEDS INPUT]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[NEEDS INPUT]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Paid order + proof of payment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Any order marked paid with proof attached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Browse orders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M-12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[NEEDS INPUT]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[NEEDS INPUT]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Non-migrated / unknown customer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deliberately absent record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UAT owner confirms one is genuinely absent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M-01, M-06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[NEEDS INPUT]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[NEEDS INPUT]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Non-tracked SKU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 item flagged as not requiring stock-count tracking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UAT owner confirms configuration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M-09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[NEEDS INPUT]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[NEEDS INPUT]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5. Reusable Input Library Matrix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50"/>
        <w:gridCol w:w="2250"/>
        <w:gridCol w:w="855"/>
        <w:gridCol w:w="885"/>
        <w:gridCol w:w="840"/>
        <w:gridCol w:w="1065"/>
        <w:gridCol w:w="720"/>
        <w:gridCol w:w="615"/>
      </w:tblGrid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Input category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 folder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Minimum reusable pool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Mission(s)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chooses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team prepares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Blocking?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Purchase Order samples (photo/text)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01_Purchase_Order_Samples/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3–5 varied clarity levels (clean, blurry/cropped, garbled)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M-02, BF-01, BF-02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Customer, item, wording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2–3 illustrative reference samples for tone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started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 photos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02_POD_Photos/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1–2 synthetic delivery photos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M-05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Which order to attach to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Sample synthetic photo(s)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started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New-customer / new-item worksheets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03_New_Customer_Item_Examples/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1–2 example field layouts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M-10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Actual field values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Example of what "complete" looks like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started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dedicated folder is needed for missions that run entirely on tester-selected existing records (M-01, M-03, M-04, M-06, M-07, M-08, M-09, M-11, M-12) — those pull directly from the UAT account.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6. Fixed Regression Fixture Register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NONE.</w:t>
      </w:r>
      <w:r>
        <w:rPr>
          <w:rFonts w:eastAsia="等线" w:ascii="Arial" w:cs="Arial" w:hAnsi="Arial"/>
          <w:sz w:val="22"/>
        </w:rPr>
        <w:t xml:space="preserve"> This project's evidence base (12 locked items, no recorded historical failures) doesn't currently justify a controlled fixture — every mission's reproducibility need is met by stating clear selection criteria instead. Revisit this if a specific regression is later confirmed and needs a stable, unchanging input.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7. Roles, accounts, and permissions</w:t>
      </w:r>
      <w:bookmarkEnd w:id="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Update 2026-07-20: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SL-7's approval gate is superseded — client (Yap Li Min) confirmed only 3 people use MAIA for Dalson, and a separate sign-off step was dropped as unnecessary friction for a team this size. All 3 registered users (Yap Li Min, Asilah, Joseph) now submit directly.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960"/>
        <w:gridCol w:w="1125"/>
        <w:gridCol w:w="1155"/>
        <w:gridCol w:w="1245"/>
        <w:gridCol w:w="1395"/>
        <w:gridCol w:w="945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Persona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Required account/access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Permitted actions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Refused actions to test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Yap Li Min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UAT account access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 SO/Invoice directly, issue credit notes, generate receipts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[NEEDS INPUT]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[NEEDS INPUT]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Coordinator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Asilah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UAT account, chatbot access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and submit orders directly, create customers/items via chatbot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[NEEDS INPUT]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[NEEDS INPUT]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Store Keeper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Joseph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confirmed — see Field Guide Persona P-03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 orders directly, in principle (SL-7); actual MAIA-facing access unconfirmed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gap, not blocking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[NEEDS INPUT]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Driver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 TBC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Any staff account may stand in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Upload POD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Submitting orders, accessing customer/pricing data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gap, not blocking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[NEEDS INPUT]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Unregistered Telegram account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N/A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 Telegram account </w:t>
            </w:r>
            <w:r>
              <w:rPr>
                <w:rFonts w:eastAsia="等线" w:ascii="Arial" w:cs="Arial" w:hAnsi="Arial"/>
                <w:b w:val="true"/>
                <w:sz w:val="22"/>
              </w:rPr>
              <w:t>not</w:t>
            </w:r>
            <w:r>
              <w:rPr>
                <w:rFonts w:eastAsia="等线" w:ascii="Arial" w:cs="Arial" w:hAnsi="Arial"/>
                <w:sz w:val="22"/>
              </w:rPr>
              <w:t xml:space="preserve"> on the staff list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Everything, including submission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[NEEDS INPUT]</w:t>
            </w:r>
            <w:r>
              <w:rPr>
                <w:rFonts w:eastAsia="等线" w:ascii="Arial" w:cs="Arial" w:hAnsi="Arial"/>
                <w:sz w:val="22"/>
              </w:rPr>
              <w:t xml:space="preserve"> — needs provisioning (A-02)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[NEEDS INPUT]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8. Beyond Tester Reach handoffs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335"/>
        <w:gridCol w:w="1995"/>
        <w:gridCol w:w="1560"/>
        <w:gridCol w:w="1020"/>
        <w:gridCol w:w="13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Handoff ID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Acceptance criterion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Tester-verifiable half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Client/account-owner half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Evidence required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H-01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SL-6: migrated data matches AutoCount 1:1, pushed SO appears correctly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shows the migrated record and push confirmation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Confirming the live AutoCount record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[NEEDS INPUT]</w:t>
            </w:r>
            <w:r>
              <w:rPr>
                <w:rFonts w:eastAsia="等线" w:ascii="Arial" w:cs="Arial" w:hAnsi="Arial"/>
                <w:sz w:val="22"/>
              </w:rPr>
              <w:t xml:space="preserve"> / Ms Tan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Screenshot from AutoCount side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H-02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SL-11: new customer/item reflects correctly in AutoCount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confirms creation succeeded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Confirming AutoCount validation passed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[NEEDS INPUT]</w:t>
            </w:r>
            <w:r>
              <w:rPr>
                <w:rFonts w:eastAsia="等线" w:ascii="Arial" w:cs="Arial" w:hAnsi="Arial"/>
                <w:sz w:val="22"/>
              </w:rPr>
              <w:t xml:space="preserve"> / Ms Tan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Screenshot from AutoCount side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H-03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SL-8: credit note tied to the correct invoice in AutoCount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shows the linkage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Confirming AutoCount reflects the same linkage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[NEEDS INPUT]</w:t>
            </w:r>
            <w:r>
              <w:rPr>
                <w:rFonts w:eastAsia="等线" w:ascii="Arial" w:cs="Arial" w:hAnsi="Arial"/>
                <w:sz w:val="22"/>
              </w:rPr>
              <w:t xml:space="preserve"> / Ms Tan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Screenshot from AutoCount side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H-04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SL-13: only Invoice + DO reach AutoCount, SO never does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confirms what it pushed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Confirming AutoCount's Sales Order list stayed empty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[NEEDS INPUT]</w:t>
            </w:r>
            <w:r>
              <w:rPr>
                <w:rFonts w:eastAsia="等线" w:ascii="Arial" w:cs="Arial" w:hAnsi="Arial"/>
                <w:sz w:val="22"/>
              </w:rPr>
              <w:t xml:space="preserve"> / Ms Tan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Screenshot / export from AutoCount side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9. Cleanup and collision control</w:t>
      </w:r>
      <w:bookmarkEnd w:id="9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UAT naming convention:</w:t>
      </w:r>
      <w:r>
        <w:rPr>
          <w:rFonts w:eastAsia="Consolas" w:ascii="Consolas" w:cs="Consolas" w:hAnsi="Consolas"/>
          <w:sz w:val="22"/>
          <w:shd w:fill="EFF0F1"/>
        </w:rPr>
        <w:t>[NEEDS INPUT]</w:t>
      </w:r>
      <w:r>
        <w:rPr>
          <w:rFonts w:eastAsia="等线" w:ascii="Arial" w:cs="Arial" w:hAnsi="Arial"/>
          <w:sz w:val="22"/>
        </w:rPr>
        <w:t xml:space="preserve"> — recommend a simple prefix (e.g. </w:t>
      </w:r>
      <w:r>
        <w:rPr>
          <w:rFonts w:eastAsia="Consolas" w:ascii="Consolas" w:cs="Consolas" w:hAnsi="Consolas"/>
          <w:sz w:val="22"/>
          <w:shd w:fill="EFF0F1"/>
        </w:rPr>
        <w:t>UAT-[tester initials]-[date]</w:t>
      </w:r>
      <w:r>
        <w:rPr>
          <w:rFonts w:eastAsia="等线" w:ascii="Arial" w:cs="Arial" w:hAnsi="Arial"/>
          <w:sz w:val="22"/>
        </w:rPr>
        <w:t>) for any new customer/item/order testers create, so records are traceable and don't collide with each other.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Unique reference format:</w:t>
      </w:r>
      <w:r>
        <w:rPr>
          <w:rFonts w:eastAsia="等线" w:ascii="Arial" w:cs="Arial" w:hAnsi="Arial"/>
          <w:sz w:val="22"/>
        </w:rPr>
        <w:t xml:space="preserve"> as above — testers should not reuse the same PO/customer/item name as another tester in the same window.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Tester reservation approach:</w:t>
      </w:r>
      <w:r>
        <w:rPr>
          <w:rFonts w:eastAsia="等线" w:ascii="Arial" w:cs="Arial" w:hAnsi="Arial"/>
          <w:sz w:val="22"/>
        </w:rPr>
        <w:t xml:space="preserve"> none needed — the input philosophy here is tester-selected data, not a shared reserved pool.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may be created freely:</w:t>
      </w:r>
      <w:r>
        <w:rPr>
          <w:rFonts w:eastAsia="等线" w:ascii="Arial" w:cs="Arial" w:hAnsi="Arial"/>
          <w:sz w:val="22"/>
        </w:rPr>
        <w:t xml:space="preserve"> new customers/items via M-10, new orders via M-02/M-11, POD photos via M-05.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must not be reused:</w:t>
      </w:r>
      <w:r>
        <w:rPr>
          <w:rFonts w:eastAsia="等线" w:ascii="Arial" w:cs="Arial" w:hAnsi="Arial"/>
          <w:sz w:val="22"/>
        </w:rPr>
        <w:t xml:space="preserve"> a customer/item name another tester has already claimed for a uniqueness-dependent test (e.g. duplicate-detection missions).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Fixed fixtures to keep unchanged:</w:t>
      </w:r>
      <w:r>
        <w:rPr>
          <w:rFonts w:eastAsia="等线" w:ascii="Arial" w:cs="Arial" w:hAnsi="Arial"/>
          <w:sz w:val="22"/>
        </w:rPr>
        <w:t xml:space="preserve"> none — see Section 6.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 resets data:</w:t>
      </w:r>
      <w:r>
        <w:rPr>
          <w:rFonts w:eastAsia="Consolas" w:ascii="Consolas" w:cs="Consolas" w:hAnsi="Consolas"/>
          <w:sz w:val="22"/>
          <w:shd w:fill="EFF0F1"/>
        </w:rPr>
        <w:t>[NEEDS INPUT]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Post-run cleanup owner:</w:t>
      </w:r>
      <w:r>
        <w:rPr>
          <w:rFonts w:eastAsia="Consolas" w:ascii="Consolas" w:cs="Consolas" w:hAnsi="Consolas"/>
          <w:sz w:val="22"/>
          <w:shd w:fill="EFF0F1"/>
        </w:rPr>
        <w:t>[NEEDS INPUT]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10. Distribution checklist</w:t>
      </w:r>
      <w:bookmarkEnd w:id="10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blocking project variables (Section 2) are completed.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Required accounts and roles (A-01, A-02) are ready.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Testers can find valid data matching mission criteria (Section 4, A-06).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Reusable input pools meet the minimum sample count (Section 5).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Fixed regression fixtures are present — N/A, none required.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00_START_HERE_INPUT_LIBRARY.md</w:t>
      </w:r>
      <w:r>
        <w:rPr>
          <w:rFonts w:eastAsia="等线" w:ascii="Arial" w:cs="Arial" w:hAnsi="Arial"/>
          <w:sz w:val="22"/>
        </w:rPr>
        <w:t xml:space="preserve"> is in the shared folder.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Synthetic data is approved (A-05).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Bug tracker and XP tracker are accessible.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Reset and cleanup process is known.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Scope boundaries are confirmed (Section 4 of the Field Guide).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Field Guide heading hierarchy is valid — confirmed, see Section 11 QA notes below.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Lark-native Table of Contents has been inserted after import.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Persona, Mission, and Boss Fight appears in the Lark document outline.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Every </w:t>
      </w:r>
      <w:r>
        <w:rPr>
          <w:rFonts w:eastAsia="Consolas" w:ascii="Consolas" w:cs="Consolas" w:hAnsi="Consolas"/>
          <w:sz w:val="22"/>
          <w:shd w:fill="EFF0F1"/>
        </w:rPr>
        <w:t>####</w:t>
      </w:r>
      <w:r>
        <w:rPr>
          <w:rFonts w:eastAsia="等线" w:ascii="Arial" w:cs="Arial" w:hAnsi="Arial"/>
          <w:sz w:val="22"/>
        </w:rPr>
        <w:t xml:space="preserve"> card heading has been converted to a Lark-native collapsible heading/toggle.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Cards are collapsed by default except the first tutorial mission (M-01).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Desktop and mobile navigation have been checked.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11. Lark Publishing Map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95"/>
        <w:gridCol w:w="1170"/>
        <w:gridCol w:w="1905"/>
        <w:gridCol w:w="1470"/>
        <w:gridCol w:w="2040"/>
      </w:tblGrid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 block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Markdown level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Required Lark block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Collapsible?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 state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Document title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 / Heading 1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Expanded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##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Heading 1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Expanded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Numbered section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###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Heading 2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Expanded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Persona Card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####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Heading 3 / collapsible heading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Collapsed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Mission Card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####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Heading 3 / collapsible heading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Collapsed (except M-01)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 Fight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####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Heading 3 / collapsible heading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Collapsed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Card subsection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#####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Heading 4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Follows parent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Parent-controlled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Post-import checklist: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Import the </w:t>
      </w:r>
      <w:r>
        <w:rPr>
          <w:rFonts w:eastAsia="Consolas" w:ascii="Consolas" w:cs="Consolas" w:hAnsi="Consolas"/>
          <w:sz w:val="22"/>
          <w:shd w:fill="EFF0F1"/>
        </w:rPr>
        <w:t>.md</w:t>
      </w:r>
      <w:r>
        <w:rPr>
          <w:rFonts w:eastAsia="等线" w:ascii="Arial" w:cs="Arial" w:hAnsi="Arial"/>
          <w:sz w:val="22"/>
        </w:rPr>
        <w:t xml:space="preserve"> file rather than pasting it as plain text where possible.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heading levels before editing content.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Insert Lark's native Table of Contents.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Apply native collapsibility to all card headings.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Collapse all cards except Mission M-01 (the tutorial mission).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the outline and TOC show the same order.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each card contains only its own content.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 navigation on desktop and mobile.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003">
    <w:lvl>
      <w:numFmt w:val="bullet"/>
      <w:suff w:val="tab"/>
      <w:lvlText w:val="•"/>
      <w:rPr>
        <w:color w:val="3370ff"/>
      </w:rPr>
    </w:lvl>
  </w:abstractNum>
  <w:abstractNum w:abstractNumId="26004">
    <w:lvl>
      <w:numFmt w:val="bullet"/>
      <w:suff w:val="tab"/>
      <w:lvlText w:val="•"/>
      <w:rPr>
        <w:color w:val="3370ff"/>
      </w:rPr>
    </w:lvl>
  </w:abstractNum>
  <w:abstractNum w:abstractNumId="26005">
    <w:lvl>
      <w:numFmt w:val="bullet"/>
      <w:suff w:val="tab"/>
      <w:lvlText w:val="•"/>
      <w:rPr>
        <w:color w:val="3370ff"/>
      </w:rPr>
    </w:lvl>
  </w:abstractNum>
  <w:abstractNum w:abstractNumId="26006">
    <w:lvl>
      <w:numFmt w:val="bullet"/>
      <w:suff w:val="tab"/>
      <w:lvlText w:val="•"/>
      <w:rPr>
        <w:color w:val="3370ff"/>
      </w:rPr>
    </w:lvl>
  </w:abstractNum>
  <w:abstractNum w:abstractNumId="26007">
    <w:lvl>
      <w:numFmt w:val="bullet"/>
      <w:suff w:val="tab"/>
      <w:lvlText w:val="•"/>
      <w:rPr>
        <w:color w:val="3370ff"/>
      </w:rPr>
    </w:lvl>
  </w:abstractNum>
  <w:abstractNum w:abstractNumId="26008">
    <w:lvl>
      <w:numFmt w:val="bullet"/>
      <w:suff w:val="tab"/>
      <w:lvlText w:val="•"/>
      <w:rPr>
        <w:color w:val="3370ff"/>
      </w:rPr>
    </w:lvl>
  </w:abstractNum>
  <w:abstractNum w:abstractNumId="26009">
    <w:lvl>
      <w:numFmt w:val="bullet"/>
      <w:suff w:val="tab"/>
      <w:lvlText w:val="•"/>
      <w:rPr>
        <w:color w:val="3370ff"/>
      </w:rPr>
    </w:lvl>
  </w:abstractNum>
  <w:abstractNum w:abstractNumId="26010">
    <w:lvl>
      <w:numFmt w:val="bullet"/>
      <w:suff w:val="tab"/>
      <w:lvlText w:val="•"/>
      <w:rPr>
        <w:color w:val="3370ff"/>
      </w:rPr>
    </w:lvl>
  </w:abstractNum>
  <w:abstractNum w:abstractNumId="26011">
    <w:lvl>
      <w:numFmt w:val="bullet"/>
      <w:suff w:val="space"/>
      <w:lvlText w:val="□"/>
    </w:lvl>
  </w:abstractNum>
  <w:abstractNum w:abstractNumId="26012">
    <w:lvl>
      <w:numFmt w:val="bullet"/>
      <w:suff w:val="space"/>
      <w:lvlText w:val="□"/>
    </w:lvl>
  </w:abstractNum>
  <w:abstractNum w:abstractNumId="26013">
    <w:lvl>
      <w:numFmt w:val="bullet"/>
      <w:suff w:val="space"/>
      <w:lvlText w:val="□"/>
    </w:lvl>
  </w:abstractNum>
  <w:abstractNum w:abstractNumId="26014">
    <w:lvl>
      <w:numFmt w:val="bullet"/>
      <w:suff w:val="space"/>
      <w:lvlText w:val="□"/>
    </w:lvl>
  </w:abstractNum>
  <w:abstractNum w:abstractNumId="26015">
    <w:lvl>
      <w:numFmt w:val="bullet"/>
      <w:suff w:val="space"/>
      <w:lvlText w:val="□"/>
    </w:lvl>
  </w:abstractNum>
  <w:abstractNum w:abstractNumId="26016">
    <w:lvl>
      <w:numFmt w:val="bullet"/>
      <w:suff w:val="space"/>
      <w:lvlText w:val="□"/>
    </w:lvl>
  </w:abstractNum>
  <w:abstractNum w:abstractNumId="26017">
    <w:lvl>
      <w:numFmt w:val="bullet"/>
      <w:suff w:val="space"/>
      <w:lvlText w:val="□"/>
    </w:lvl>
  </w:abstractNum>
  <w:abstractNum w:abstractNumId="26018">
    <w:lvl>
      <w:numFmt w:val="bullet"/>
      <w:suff w:val="space"/>
      <w:lvlText w:val="□"/>
    </w:lvl>
  </w:abstractNum>
  <w:abstractNum w:abstractNumId="26019">
    <w:lvl>
      <w:numFmt w:val="bullet"/>
      <w:suff w:val="space"/>
      <w:lvlText w:val="□"/>
    </w:lvl>
  </w:abstractNum>
  <w:abstractNum w:abstractNumId="26020">
    <w:lvl>
      <w:numFmt w:val="bullet"/>
      <w:suff w:val="space"/>
      <w:lvlText w:val="□"/>
    </w:lvl>
  </w:abstractNum>
  <w:abstractNum w:abstractNumId="26021">
    <w:lvl>
      <w:numFmt w:val="bullet"/>
      <w:suff w:val="space"/>
      <w:lvlText w:val="□"/>
    </w:lvl>
  </w:abstractNum>
  <w:abstractNum w:abstractNumId="26022">
    <w:lvl>
      <w:numFmt w:val="bullet"/>
      <w:suff w:val="space"/>
      <w:lvlText w:val="□"/>
    </w:lvl>
  </w:abstractNum>
  <w:abstractNum w:abstractNumId="26023">
    <w:lvl>
      <w:numFmt w:val="bullet"/>
      <w:suff w:val="space"/>
      <w:lvlText w:val="□"/>
    </w:lvl>
  </w:abstractNum>
  <w:abstractNum w:abstractNumId="26024">
    <w:lvl>
      <w:numFmt w:val="bullet"/>
      <w:suff w:val="space"/>
      <w:lvlText w:val="□"/>
    </w:lvl>
  </w:abstractNum>
  <w:abstractNum w:abstractNumId="26025">
    <w:lvl>
      <w:numFmt w:val="bullet"/>
      <w:suff w:val="space"/>
      <w:lvlText w:val="□"/>
    </w:lvl>
  </w:abstractNum>
  <w:abstractNum w:abstractNumId="26026">
    <w:lvl>
      <w:numFmt w:val="bullet"/>
      <w:suff w:val="space"/>
      <w:lvlText w:val="□"/>
    </w:lvl>
  </w:abstractNum>
  <w:abstractNum w:abstractNumId="26027">
    <w:lvl>
      <w:numFmt w:val="bullet"/>
      <w:suff w:val="space"/>
      <w:lvlText w:val="□"/>
    </w:lvl>
  </w:abstractNum>
  <w:abstractNum w:abstractNumId="26028">
    <w:lvl>
      <w:numFmt w:val="bullet"/>
      <w:suff w:val="space"/>
      <w:lvlText w:val="□"/>
    </w:lvl>
  </w:abstractNum>
  <w:abstractNum w:abstractNumId="26029">
    <w:lvl>
      <w:numFmt w:val="bullet"/>
      <w:suff w:val="space"/>
      <w:lvlText w:val="□"/>
    </w:lvl>
  </w:abstractNum>
  <w:abstractNum w:abstractNumId="26030">
    <w:lvl>
      <w:numFmt w:val="bullet"/>
      <w:suff w:val="space"/>
      <w:lvlText w:val="□"/>
    </w:lvl>
  </w:abstractNum>
  <w:abstractNum w:abstractNumId="26031">
    <w:lvl>
      <w:numFmt w:val="bullet"/>
      <w:suff w:val="space"/>
      <w:lvlText w:val="□"/>
    </w:lvl>
  </w:abstractNum>
  <w:abstractNum w:abstractNumId="26032">
    <w:lvl>
      <w:numFmt w:val="bullet"/>
      <w:suff w:val="space"/>
      <w:lvlText w:val="□"/>
    </w:lvl>
  </w:abstractNum>
  <w:abstractNum w:abstractNumId="26033">
    <w:lvl>
      <w:numFmt w:val="bullet"/>
      <w:suff w:val="space"/>
      <w:lvlText w:val="□"/>
    </w:lvl>
  </w:abstractNum>
  <w:abstractNum w:abstractNumId="26034">
    <w:lvl>
      <w:numFmt w:val="bullet"/>
      <w:suff w:val="space"/>
      <w:lvlText w:val="□"/>
    </w:lvl>
  </w:abstractNum>
  <w:num w:numId="1">
    <w:abstractNumId w:val="26003"/>
  </w:num>
  <w:num w:numId="2">
    <w:abstractNumId w:val="26004"/>
  </w:num>
  <w:num w:numId="3">
    <w:abstractNumId w:val="26005"/>
  </w:num>
  <w:num w:numId="4">
    <w:abstractNumId w:val="26006"/>
  </w:num>
  <w:num w:numId="5">
    <w:abstractNumId w:val="26007"/>
  </w:num>
  <w:num w:numId="6">
    <w:abstractNumId w:val="26008"/>
  </w:num>
  <w:num w:numId="7">
    <w:abstractNumId w:val="26009"/>
  </w:num>
  <w:num w:numId="8">
    <w:abstractNumId w:val="26010"/>
  </w:num>
  <w:num w:numId="9">
    <w:abstractNumId w:val="26011"/>
  </w:num>
  <w:num w:numId="10">
    <w:abstractNumId w:val="26012"/>
  </w:num>
  <w:num w:numId="11">
    <w:abstractNumId w:val="26013"/>
  </w:num>
  <w:num w:numId="12">
    <w:abstractNumId w:val="26014"/>
  </w:num>
  <w:num w:numId="13">
    <w:abstractNumId w:val="26015"/>
  </w:num>
  <w:num w:numId="14">
    <w:abstractNumId w:val="26016"/>
  </w:num>
  <w:num w:numId="15">
    <w:abstractNumId w:val="26017"/>
  </w:num>
  <w:num w:numId="16">
    <w:abstractNumId w:val="26018"/>
  </w:num>
  <w:num w:numId="17">
    <w:abstractNumId w:val="26019"/>
  </w:num>
  <w:num w:numId="18">
    <w:abstractNumId w:val="26020"/>
  </w:num>
  <w:num w:numId="19">
    <w:abstractNumId w:val="26021"/>
  </w:num>
  <w:num w:numId="20">
    <w:abstractNumId w:val="26022"/>
  </w:num>
  <w:num w:numId="21">
    <w:abstractNumId w:val="26023"/>
  </w:num>
  <w:num w:numId="22">
    <w:abstractNumId w:val="26024"/>
  </w:num>
  <w:num w:numId="23">
    <w:abstractNumId w:val="26025"/>
  </w:num>
  <w:num w:numId="24">
    <w:abstractNumId w:val="26026"/>
  </w:num>
  <w:num w:numId="25">
    <w:abstractNumId w:val="26027"/>
  </w:num>
  <w:num w:numId="26">
    <w:abstractNumId w:val="26028"/>
  </w:num>
  <w:num w:numId="27">
    <w:abstractNumId w:val="26029"/>
  </w:num>
  <w:num w:numId="28">
    <w:abstractNumId w:val="26030"/>
  </w:num>
  <w:num w:numId="29">
    <w:abstractNumId w:val="26031"/>
  </w:num>
  <w:num w:numId="30">
    <w:abstractNumId w:val="26032"/>
  </w:num>
  <w:num w:numId="31">
    <w:abstractNumId w:val="26033"/>
  </w:num>
  <w:num w:numId="32">
    <w:abstractNumId w:val="2603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drive.google.com/drive/folders/15kni8uvq9-P-uhTqbmho-40OySeASgv7?usp=drive_link" TargetMode="External" Type="http://schemas.openxmlformats.org/officeDocument/2006/relationships/hyperlink"/><Relationship Id="rId5" Target="https://drive.google.com/drive/folders/1FNLcHwNYQ3WBQFFHQeITgZoO102r_tLO?usp=drive_link" TargetMode="External" Type="http://schemas.openxmlformats.org/officeDocument/2006/relationships/hyperlink"/><Relationship Id="rId6" Target="https://drive.google.com/drive/folders/1YZNWWsFSGYv9wz3PrZbpVX8LUaRoZUE1?usp=drive_link" TargetMode="External" Type="http://schemas.openxmlformats.org/officeDocument/2006/relationships/hyperlink"/><Relationship Id="rId7" Target="https://eg69120xnei.sg.larksuite.com/wiki/CsWLwSjOgiO98JkitQ8lGfpPgF2" TargetMode="External" Type="http://schemas.openxmlformats.org/officeDocument/2006/relationships/hyperlink"/><Relationship Id="rId8" Target="numbering.xml" Type="http://schemas.openxmlformats.org/officeDocument/2006/relationships/numbering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2026-08-06T18:04:06Z</dcterms:created>
  <dc:creator>Apache POI</dc:creator>
</cp:coreProperties>
</file>