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 xml:space="preserve">Fixguru UAT -  next action items </w:t>
      </w:r>
    </w:p>
    <w:p>
      <w:pPr>
        <w:pStyle w:val="1"/>
        <w:spacing w:before="380" w:after="140" w:line="288" w:lineRule="auto"/>
        <w:ind w:left="0"/>
        <w:jc w:val="left"/>
        <w:outlineLvl w:val="0"/>
      </w:pPr>
      <w:bookmarkStart w:name="heading_0" w:id="0"/>
      <w:r>
        <w:rPr>
          <w:rFonts w:eastAsia="等线" w:ascii="Arial" w:cs="Arial" w:hAnsi="Arial"/>
          <w:b w:val="true"/>
          <w:sz w:val="36"/>
        </w:rPr>
        <w:t>Fixguru UAT Action Items (2026-05-15 Feedback Sync)</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Historical Pricing</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What Fixguru wants</w:t>
      </w:r>
      <w:bookmarkEnd w:id="2"/>
    </w:p>
    <w:p>
      <w:pPr>
        <w:spacing w:before="120" w:after="120" w:line="288" w:lineRule="auto"/>
        <w:ind w:left="0"/>
        <w:jc w:val="left"/>
      </w:pPr>
      <w:r>
        <w:rPr>
          <w:rFonts w:eastAsia="等线" w:ascii="Arial" w:cs="Arial" w:hAnsi="Arial"/>
          <w:sz w:val="22"/>
        </w:rPr>
        <w:t>When creating a SO/quotation, surface for each line item:</w:t>
      </w:r>
    </w:p>
    <w:p>
      <w:pPr>
        <w:numPr>
          <w:numId w:val="1"/>
        </w:numPr>
        <w:spacing w:before="120" w:after="120" w:line="288" w:lineRule="auto"/>
        <w:ind w:left="0"/>
        <w:jc w:val="left"/>
      </w:pPr>
      <w:r>
        <w:rPr>
          <w:rFonts w:eastAsia="等线" w:ascii="Arial" w:cs="Arial" w:hAnsi="Arial"/>
          <w:sz w:val="22"/>
        </w:rPr>
        <w:t xml:space="preserve">Last transaction net price for that </w:t>
      </w:r>
      <w:r>
        <w:rPr>
          <w:rFonts w:eastAsia="等线" w:ascii="Arial" w:cs="Arial" w:hAnsi="Arial"/>
          <w:b w:val="true"/>
          <w:sz w:val="22"/>
        </w:rPr>
        <w:t>customer × item</w:t>
      </w:r>
      <w:r>
        <w:rPr>
          <w:rFonts w:eastAsia="等线" w:ascii="Arial" w:cs="Arial" w:hAnsi="Arial"/>
          <w:sz w:val="22"/>
        </w:rPr>
        <w:t xml:space="preserve"> combo</w:t>
      </w:r>
    </w:p>
    <w:p>
      <w:pPr>
        <w:numPr>
          <w:numId w:val="2"/>
        </w:numPr>
        <w:spacing w:before="120" w:after="120" w:line="288" w:lineRule="auto"/>
        <w:ind w:left="0"/>
        <w:jc w:val="left"/>
      </w:pPr>
      <w:r>
        <w:rPr>
          <w:rFonts w:eastAsia="等线" w:ascii="Arial" w:cs="Arial" w:hAnsi="Arial"/>
          <w:sz w:val="22"/>
        </w:rPr>
        <w:t>Discount % applied in that last transaction</w:t>
      </w:r>
    </w:p>
    <w:p>
      <w:pPr>
        <w:numPr>
          <w:numId w:val="3"/>
        </w:numPr>
        <w:spacing w:before="120" w:after="120" w:line="288" w:lineRule="auto"/>
        <w:ind w:left="0"/>
        <w:jc w:val="left"/>
      </w:pPr>
      <w:r>
        <w:rPr>
          <w:rFonts w:eastAsia="等线" w:ascii="Arial" w:cs="Arial" w:hAnsi="Arial"/>
          <w:sz w:val="22"/>
        </w:rPr>
        <w:t>Current list price (benchmark)</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Note:</w:t>
            </w:r>
            <w:r>
              <w:rPr>
                <w:rFonts w:eastAsia="等线" w:ascii="Arial" w:cs="Arial" w:hAnsi="Arial"/>
                <w:color w:val="646a73"/>
                <w:sz w:val="22"/>
              </w:rPr>
              <w:t xml:space="preserve"> Fixguru does NOT use customer-specific pricing tiers. Historical pricing = last transaction data only.</w:t>
            </w:r>
          </w:p>
        </w:tc>
      </w:tr>
    </w:tbl>
    <w:p>
      <w:pPr>
        <w:pStyle w:val="3"/>
        <w:spacing w:before="300" w:after="120" w:line="288" w:lineRule="auto"/>
        <w:ind w:left="0"/>
        <w:jc w:val="left"/>
        <w:outlineLvl w:val="2"/>
      </w:pPr>
      <w:bookmarkStart w:name="heading_3" w:id="3"/>
      <w:r>
        <w:rPr>
          <w:rFonts w:eastAsia="等线" w:ascii="Arial" w:cs="Arial" w:hAnsi="Arial"/>
          <w:b w:val="true"/>
          <w:sz w:val="30"/>
        </w:rPr>
        <w:t>Expected Chatbot Display</w:t>
      </w:r>
      <w:bookmarkEnd w:id="3"/>
    </w:p>
    <w:p>
      <w:pPr>
        <w:spacing w:before="120" w:after="120" w:line="288" w:lineRule="auto"/>
        <w:ind w:left="0"/>
        <w:jc w:val="left"/>
      </w:pPr>
      <w:r>
        <w:rPr>
          <w:rFonts w:eastAsia="等线" w:ascii="Arial" w:cs="Arial" w:hAnsi="Arial"/>
          <w:sz w:val="22"/>
        </w:rPr>
        <w:t xml:space="preserve">When a user adds item to </w:t>
      </w:r>
      <w:r>
        <w:rPr>
          <w:rFonts w:eastAsia="等线" w:ascii="Arial" w:cs="Arial" w:hAnsi="Arial"/>
          <w:sz w:val="22"/>
        </w:rPr>
        <w:t>QT</w:t>
      </w:r>
      <w:r>
        <w:rPr>
          <w:rFonts w:eastAsia="等线" w:ascii="Arial" w:cs="Arial" w:hAnsi="Arial"/>
          <w:sz w:val="22"/>
        </w:rPr>
        <w:t xml:space="preserve"> via chatbot: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*Item A* added for *Customer XYZ*</w:t>
              <w:br/>
              <w:br/>
            </w:r>
            <w:r>
              <w:rPr>
                <w:rFonts w:eastAsia="Consolas" w:ascii="Consolas" w:cs="Consolas" w:hAnsi="Consolas"/>
                <w:sz w:val="22"/>
              </w:rPr>
              <w:t xml:space="preserve">Price history (last </w:t>
            </w:r>
            <w:r>
              <w:rPr>
                <w:rFonts w:eastAsia="Consolas" w:ascii="Consolas" w:cs="Consolas" w:hAnsi="Consolas"/>
                <w:sz w:val="22"/>
              </w:rPr>
              <w:t xml:space="preserve">2 </w:t>
            </w:r>
            <w:r>
              <w:rPr>
                <w:rFonts w:eastAsia="Consolas" w:ascii="Consolas" w:cs="Consolas" w:hAnsi="Consolas"/>
                <w:sz w:val="22"/>
              </w:rPr>
              <w:t>transactions):</w:t>
            </w:r>
            <w:r>
              <w:rPr>
                <w:rFonts w:eastAsia="Consolas" w:ascii="Consolas" w:cs="Consolas" w:hAnsi="Consolas"/>
                <w:sz w:val="22"/>
              </w:rPr>
              <w:br/>
            </w:r>
            <w:r>
              <w:rPr>
                <w:rFonts w:eastAsia="Consolas" w:ascii="Consolas" w:cs="Consolas" w:hAnsi="Consolas"/>
                <w:sz w:val="22"/>
              </w:rPr>
              <w:t>• SO-001 — Qty 20 @ RM 8.10 (10% off list RM 9.00)</w:t>
            </w:r>
            <w:r>
              <w:rPr>
                <w:rFonts w:eastAsia="Consolas" w:ascii="Consolas" w:cs="Consolas" w:hAnsi="Consolas"/>
                <w:sz w:val="22"/>
              </w:rPr>
              <w:br/>
            </w:r>
            <w:r>
              <w:rPr>
                <w:rFonts w:eastAsia="Consolas" w:ascii="Consolas" w:cs="Consolas" w:hAnsi="Consolas"/>
                <w:sz w:val="22"/>
              </w:rPr>
              <w:t>• SO-002 — Qty 30 @ RM 9.90 (10% off list RM 11.00)</w:t>
            </w:r>
            <w:r>
              <w:rPr>
                <w:rFonts w:eastAsia="Consolas" w:ascii="Consolas" w:cs="Consolas" w:hAnsi="Consolas"/>
                <w:sz w:val="22"/>
              </w:rPr>
              <w:br/>
              <w:br/>
              <w:t>Current list price: RM 15.00</w:t>
              <w:br/>
              <w:br/>
              <w:t>Which price to apply?</w:t>
              <w:br/>
              <w:t>1. Last transaction — RM 9.90 (10%)</w:t>
              <w:br/>
              <w:t>2. List price — RM 15.00</w:t>
              <w:br/>
            </w:r>
            <w:r>
              <w:rPr>
                <w:rFonts w:eastAsia="Consolas" w:ascii="Consolas" w:cs="Consolas" w:hAnsi="Consolas"/>
                <w:sz w:val="22"/>
              </w:rPr>
              <w:t>3. Enter custom price</w:t>
            </w:r>
          </w:p>
        </w:tc>
      </w:tr>
    </w:tbl>
    <w:p>
      <w:pPr>
        <w:pStyle w:val="3"/>
        <w:spacing w:before="300" w:after="120" w:line="288" w:lineRule="auto"/>
        <w:ind w:left="0"/>
        <w:jc w:val="left"/>
        <w:outlineLvl w:val="2"/>
      </w:pPr>
      <w:bookmarkStart w:name="heading_4" w:id="4"/>
      <w:r>
        <w:rPr>
          <w:rFonts w:eastAsia="等线" w:ascii="Arial" w:cs="Arial" w:hAnsi="Arial"/>
          <w:b w:val="true"/>
          <w:sz w:val="30"/>
        </w:rPr>
        <w:t>Action Items</w:t>
      </w:r>
      <w:bookmarkEnd w:id="4"/>
    </w:p>
    <w:p>
      <w:pPr>
        <w:numPr>
          <w:numId w:val="4"/>
        </w:numPr>
        <w:spacing w:before="120" w:after="120" w:line="288" w:lineRule="auto"/>
        <w:ind w:left="0"/>
        <w:jc w:val="left"/>
      </w:pPr>
      <w:r>
        <w:rPr>
          <w:rFonts w:eastAsia="等线" w:ascii="Arial" w:cs="Arial" w:hAnsi="Arial"/>
          <w:b w:val="true"/>
          <w:color w:val="3370ff"/>
          <w:sz w:val="22"/>
        </w:rPr>
        <w:t>@Bryan Tew</w:t>
      </w:r>
      <w:r>
        <w:rPr>
          <w:rFonts w:eastAsia="等线" w:ascii="Arial" w:cs="Arial" w:hAnsi="Arial"/>
          <w:b w:val="true"/>
          <w:strike w:val="true"/>
          <w:sz w:val="22"/>
        </w:rPr>
        <w:t>Surface historical pricing in chatbot</w:t>
      </w:r>
      <w:r>
        <w:rPr>
          <w:rFonts w:eastAsia="等线" w:ascii="Arial" w:cs="Arial" w:hAnsi="Arial"/>
          <w:strike w:val="true"/>
          <w:sz w:val="22"/>
        </w:rPr>
        <w:t xml:space="preserve"> — when user adds item to SO, show last transactions for that customer × item: SO ref, qty, unit price, discount % vs list price. LLM to service from existing data.</w:t>
      </w:r>
    </w:p>
    <w:p>
      <w:pPr>
        <w:numPr>
          <w:numId w:val="5"/>
        </w:numPr>
        <w:spacing w:before="120" w:after="120" w:line="288" w:lineRule="auto"/>
        <w:ind w:left="0"/>
        <w:jc w:val="left"/>
      </w:pPr>
      <w:r>
        <w:rPr>
          <w:rFonts w:eastAsia="等线" w:ascii="Arial" w:cs="Arial" w:hAnsi="Arial"/>
          <w:b w:val="true"/>
          <w:strike w:val="true"/>
          <w:color w:val="3370ff"/>
          <w:sz w:val="22"/>
        </w:rPr>
        <w:t>@Amirul Iman bin Amran</w:t>
      </w:r>
      <w:r>
        <w:rPr>
          <w:rFonts w:eastAsia="等线" w:ascii="Arial" w:cs="Arial" w:hAnsi="Arial"/>
          <w:b w:val="true"/>
          <w:strike w:val="true"/>
          <w:sz w:val="22"/>
        </w:rPr>
        <w:t>Surface historical pricing in UI (front end)</w:t>
      </w:r>
      <w:r>
        <w:rPr>
          <w:rFonts w:eastAsia="等线" w:ascii="Arial" w:cs="Arial" w:hAnsi="Arial"/>
          <w:strike w:val="true"/>
          <w:sz w:val="22"/>
        </w:rPr>
        <w:t xml:space="preserve"> — price list pop-up shows last transactions + current list price. No customer-specific tier needed.</w:t>
      </w:r>
    </w:p>
    <w:p>
      <w:pPr>
        <w:numPr>
          <w:numId w:val="6"/>
        </w:numPr>
        <w:spacing w:before="120" w:after="120" w:line="288" w:lineRule="auto"/>
        <w:ind w:left="0"/>
        <w:jc w:val="left"/>
      </w:pPr>
      <w:r>
        <w:rPr>
          <w:rFonts w:eastAsia="等线" w:ascii="Arial" w:cs="Arial" w:hAnsi="Arial"/>
          <w:color w:val="3370ff"/>
          <w:sz w:val="22"/>
        </w:rPr>
        <w:t>@Muhammad Azib Iqbal Bin Harun</w:t>
      </w:r>
      <w:r>
        <w:rPr>
          <w:rFonts w:eastAsia="等线" w:ascii="Arial" w:cs="Arial" w:hAnsi="Arial"/>
          <w:color w:val="3370ff"/>
          <w:sz w:val="22"/>
        </w:rPr>
        <w:t>@Amirul Iman bin Amran</w:t>
      </w:r>
      <w:r>
        <w:rPr>
          <w:rFonts w:eastAsia="等线" w:ascii="Arial" w:cs="Arial" w:hAnsi="Arial"/>
          <w:color w:val="3370ff"/>
          <w:sz w:val="22"/>
        </w:rPr>
        <w:t>@Gareth Ng</w:t>
      </w:r>
      <w:r>
        <w:rPr>
          <w:rFonts w:eastAsia="等线" w:ascii="Arial" w:cs="Arial" w:hAnsi="Arial"/>
          <w:color w:val="3370ff"/>
          <w:sz w:val="22"/>
        </w:rPr>
        <w:t>@Bryan Tew</w:t>
      </w:r>
      <w:r>
        <w:rPr>
          <w:rFonts w:eastAsia="等线" w:ascii="Arial" w:cs="Arial" w:hAnsi="Arial"/>
          <w:sz w:val="22"/>
        </w:rPr>
        <w:t>enforcement flag handling for cust x item x price/disc</w:t>
      </w:r>
    </w:p>
    <w:p>
      <w:pPr>
        <w:spacing w:before="120" w:after="120" w:line="288" w:lineRule="auto"/>
        <w:ind w:left="0"/>
        <w:jc w:val="left"/>
      </w:pPr>
    </w:p>
    <w:p>
      <w:pPr>
        <w:numPr>
          <w:numId w:val="7"/>
        </w:numPr>
        <w:spacing w:before="120" w:after="120" w:line="288" w:lineRule="auto"/>
        <w:ind w:left="0"/>
        <w:jc w:val="left"/>
      </w:pPr>
      <w:r>
        <w:rPr>
          <w:rFonts w:eastAsia="等线" w:ascii="Arial" w:cs="Arial" w:hAnsi="Arial"/>
          <w:b w:val="true"/>
          <w:color w:val="3370ff"/>
          <w:sz w:val="22"/>
        </w:rPr>
        <w:t>@Muhammad Azib Iqbal Bin Harun</w:t>
      </w:r>
      <w:r>
        <w:rPr>
          <w:rFonts w:eastAsia="等线" w:ascii="Arial" w:cs="Arial" w:hAnsi="Arial"/>
          <w:b w:val="true"/>
          <w:sz w:val="22"/>
        </w:rPr>
        <w:t>Implement derived discount % field</w:t>
      </w:r>
      <w:r>
        <w:rPr>
          <w:rFonts w:eastAsia="等线" w:ascii="Arial" w:cs="Arial" w:hAnsi="Arial"/>
          <w:sz w:val="22"/>
        </w:rPr>
        <w:t xml:space="preserve"> — discount % = </w:t>
      </w:r>
      <w:r>
        <w:rPr>
          <w:rFonts w:eastAsia="Consolas" w:ascii="Consolas" w:cs="Consolas" w:hAnsi="Consolas"/>
          <w:sz w:val="22"/>
          <w:shd w:fill="EFF0F1"/>
        </w:rPr>
        <w:t>(standard_price - unit_price) / standard_price × 100</w:t>
      </w:r>
      <w:r>
        <w:rPr>
          <w:rFonts w:eastAsia="等线" w:ascii="Arial" w:cs="Arial" w:hAnsi="Arial"/>
          <w:sz w:val="22"/>
        </w:rPr>
        <w:t>. Two-way input: type unit price → derive %, OR type % → compute unit price.</w:t>
      </w:r>
    </w:p>
    <w:p>
      <w:pPr>
        <w:numPr>
          <w:numId w:val="8"/>
        </w:numPr>
        <w:spacing w:before="120" w:after="120" w:line="288" w:lineRule="auto"/>
        <w:ind w:left="0"/>
        <w:jc w:val="left"/>
      </w:pPr>
      <w:r>
        <w:rPr>
          <w:rFonts w:eastAsia="等线" w:ascii="Arial" w:cs="Arial" w:hAnsi="Arial"/>
          <w:b w:val="true"/>
          <w:color w:val="3370ff"/>
          <w:sz w:val="22"/>
        </w:rPr>
        <w:t>@Amirul Iman bin Amran</w:t>
      </w:r>
      <w:r>
        <w:rPr>
          <w:rFonts w:eastAsia="等线" w:ascii="Arial" w:cs="Arial" w:hAnsi="Arial"/>
          <w:b w:val="true"/>
          <w:color w:val="3370ff"/>
          <w:sz w:val="22"/>
        </w:rPr>
        <w:t>@Afiq Aqil</w:t>
      </w:r>
      <w:r>
        <w:rPr>
          <w:rFonts w:eastAsia="等线" w:ascii="Arial" w:cs="Arial" w:hAnsi="Arial"/>
          <w:b w:val="true"/>
          <w:sz w:val="22"/>
        </w:rPr>
        <w:t>Add brand to item display string</w:t>
      </w:r>
      <w:r>
        <w:rPr>
          <w:rFonts w:eastAsia="等线" w:ascii="Arial" w:cs="Arial" w:hAnsi="Arial"/>
          <w:sz w:val="22"/>
        </w:rPr>
        <w:t xml:space="preserve"> — formatted string: </w:t>
      </w:r>
      <w:r>
        <w:rPr>
          <w:rFonts w:eastAsia="Consolas" w:ascii="Consolas" w:cs="Consolas" w:hAnsi="Consolas"/>
          <w:sz w:val="22"/>
          <w:shd w:fill="EFF0F1"/>
        </w:rPr>
        <w:t>[item_code] [brand] [item_name]</w:t>
      </w:r>
      <w:r>
        <w:rPr>
          <w:rFonts w:eastAsia="等线" w:ascii="Arial" w:cs="Arial" w:hAnsi="Arial"/>
          <w:sz w:val="22"/>
        </w:rPr>
        <w:t>. Brand currently not shown.</w:t>
      </w:r>
    </w:p>
    <w:p>
      <w:pPr>
        <w:numPr>
          <w:numId w:val="9"/>
        </w:numPr>
        <w:spacing w:before="120" w:after="120" w:line="288" w:lineRule="auto"/>
        <w:ind w:left="0"/>
        <w:jc w:val="left"/>
      </w:pPr>
      <w:r>
        <w:rPr>
          <w:rFonts w:eastAsia="等线" w:ascii="Arial" w:cs="Arial" w:hAnsi="Arial"/>
          <w:b w:val="true"/>
          <w:color w:val="3370ff"/>
          <w:sz w:val="22"/>
        </w:rPr>
        <w:t>@Bryan Tew</w:t>
      </w:r>
      <w:r>
        <w:rPr>
          <w:rFonts w:eastAsia="等线" w:ascii="Arial" w:cs="Arial" w:hAnsi="Arial"/>
          <w:b w:val="true"/>
          <w:strike w:val="true"/>
          <w:sz w:val="22"/>
        </w:rPr>
        <w:t>Minimum price guardrail</w:t>
      </w:r>
      <w:r>
        <w:rPr>
          <w:rFonts w:eastAsia="等线" w:ascii="Arial" w:cs="Arial" w:hAnsi="Arial"/>
          <w:strike w:val="true"/>
          <w:sz w:val="22"/>
        </w:rPr>
        <w:t xml:space="preserve"> — if unit price goes below item minimum price, trigger alert/block. Tied to item price movement feature.</w:t>
      </w:r>
    </w:p>
    <w:p>
      <w:pPr>
        <w:numPr>
          <w:numId w:val="10"/>
        </w:numPr>
        <w:spacing w:before="120" w:after="120" w:line="288" w:lineRule="auto"/>
        <w:ind w:left="0"/>
        <w:jc w:val="left"/>
      </w:pPr>
      <w:r>
        <w:rPr>
          <w:rFonts w:eastAsia="等线" w:ascii="Arial" w:cs="Arial" w:hAnsi="Arial"/>
          <w:b w:val="true"/>
          <w:strike w:val="true"/>
          <w:color w:val="3370ff"/>
          <w:sz w:val="22"/>
        </w:rPr>
        <w:t>@Muhammad Azib Iqbal Bin Harun</w:t>
      </w:r>
      <w:r>
        <w:rPr>
          <w:rFonts w:eastAsia="等线" w:ascii="Arial" w:cs="Arial" w:hAnsi="Arial"/>
          <w:b w:val="true"/>
          <w:strike w:val="true"/>
          <w:sz w:val="22"/>
        </w:rPr>
        <w:t>Confirm item-level discount in backend</w:t>
      </w:r>
      <w:r>
        <w:rPr>
          <w:rFonts w:eastAsia="等线" w:ascii="Arial" w:cs="Arial" w:hAnsi="Arial"/>
          <w:strike w:val="true"/>
          <w:sz w:val="22"/>
        </w:rPr>
        <w:t xml:space="preserve"> — check with Amir</w:t>
      </w:r>
      <w:r>
        <w:rPr>
          <w:rFonts w:eastAsia="等线" w:ascii="Arial" w:cs="Arial" w:hAnsi="Arial"/>
          <w:strike w:val="true"/>
          <w:sz w:val="22"/>
        </w:rPr>
        <w:t>ul</w:t>
      </w:r>
      <w:r>
        <w:rPr>
          <w:rFonts w:eastAsia="等线" w:ascii="Arial" w:cs="Arial" w:hAnsi="Arial"/>
          <w:strike w:val="true"/>
          <w:sz w:val="22"/>
        </w:rPr>
        <w:t xml:space="preserve"> if discount % stored at item level or price list level. Determines how to derive historical discount accurately.</w:t>
      </w:r>
    </w:p>
    <w:p>
      <w:pPr>
        <w:numPr>
          <w:numId w:val="11"/>
        </w:numPr>
        <w:spacing w:before="120" w:after="120" w:line="288" w:lineRule="auto"/>
        <w:ind w:left="0"/>
        <w:jc w:val="left"/>
      </w:pPr>
      <w:r>
        <w:rPr>
          <w:rFonts w:eastAsia="等线" w:ascii="Arial" w:cs="Arial" w:hAnsi="Arial"/>
          <w:b w:val="true"/>
          <w:strike w:val="true"/>
          <w:color w:val="3370ff"/>
          <w:sz w:val="22"/>
        </w:rPr>
        <w:t>@Gareth Ng</w:t>
      </w:r>
      <w:r>
        <w:rPr>
          <w:rFonts w:eastAsia="等线" w:ascii="Arial" w:cs="Arial" w:hAnsi="Arial"/>
          <w:b w:val="true"/>
          <w:strike w:val="true"/>
          <w:sz w:val="22"/>
        </w:rPr>
        <w:t>Collect calculator policy samples from Fixguru</w:t>
      </w:r>
      <w:r>
        <w:rPr>
          <w:rFonts w:eastAsia="等线" w:ascii="Arial" w:cs="Arial" w:hAnsi="Arial"/>
          <w:strike w:val="true"/>
          <w:sz w:val="22"/>
        </w:rPr>
        <w:t xml:space="preserve"> — they updated volumetric/dimensional calculator rules; gather sample data, document transformation ratios. Scope customisation cost if needed.</w:t>
      </w:r>
    </w:p>
    <w:p>
      <w:pPr>
        <w:numPr>
          <w:numId w:val="12"/>
        </w:numPr>
        <w:spacing w:before="120" w:after="120" w:line="288" w:lineRule="auto"/>
        <w:ind w:left="0"/>
        <w:jc w:val="left"/>
      </w:pPr>
      <w:r>
        <w:rPr>
          <w:rFonts w:eastAsia="等线" w:ascii="Arial" w:cs="Arial" w:hAnsi="Arial"/>
          <w:strike w:val="true"/>
          <w:color w:val="3370ff"/>
          <w:sz w:val="22"/>
        </w:rPr>
        <w:t>@Gareth Ng</w:t>
      </w:r>
      <w:r>
        <w:rPr>
          <w:rFonts w:eastAsia="等线" w:ascii="Arial" w:cs="Arial" w:hAnsi="Arial"/>
          <w:strike w:val="true"/>
          <w:sz w:val="22"/>
        </w:rPr>
        <w:t>Communicate with Client that MAIA supports FOC items, just that the format will not be similar as Autocount which uses the Child Lines, in MAIA it will be two separate Lines</w:t>
      </w:r>
    </w:p>
    <w:p>
      <w:pPr>
        <w:numPr>
          <w:numId w:val="13"/>
        </w:numPr>
        <w:spacing w:before="120" w:after="120" w:line="288" w:lineRule="auto"/>
        <w:ind w:left="0"/>
        <w:jc w:val="left"/>
      </w:pPr>
      <w:r>
        <w:rPr>
          <w:rFonts w:eastAsia="等线" w:ascii="Arial" w:cs="Arial" w:hAnsi="Arial"/>
          <w:color w:val="3370ff"/>
          <w:sz w:val="22"/>
        </w:rPr>
        <w:t>@Bryan Tew</w:t>
      </w:r>
      <w:r>
        <w:rPr>
          <w:rFonts w:eastAsia="等线" w:ascii="Arial" w:cs="Arial" w:hAnsi="Arial"/>
          <w:color w:val="3370ff"/>
          <w:sz w:val="22"/>
        </w:rPr>
        <w:t>@Amirul Iman bin Amran</w:t>
      </w:r>
      <w:r>
        <w:rPr>
          <w:rFonts w:eastAsia="等线" w:ascii="Arial" w:cs="Arial" w:hAnsi="Arial"/>
          <w:strike w:val="true"/>
          <w:sz w:val="22"/>
        </w:rPr>
        <w:t>Chatbot side to check if can add FOC items to the QT/SO/SI. When Unit price is set to zero, chatbot ask if it is a free item. Yes then check the is_free_item flag and send to BE.</w:t>
      </w:r>
      <w:r>
        <w:rPr>
          <w:rFonts w:eastAsia="等线" w:ascii="Arial" w:cs="Arial" w:hAnsi="Arial"/>
          <w:strike w:val="true"/>
          <w:sz w:val="22"/>
        </w:rPr>
        <w:t xml:space="preserve"> CB Done</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 w:id="5"/>
      <w:r>
        <w:rPr>
          <w:rFonts w:eastAsia="等线" w:ascii="Arial" w:cs="Arial" w:hAnsi="Arial"/>
          <w:b w:val="true"/>
          <w:color w:val="3370ff"/>
          <w:sz w:val="32"/>
        </w:rPr>
        <w:t>@Muhammad Azib Iqbal Bin Harun</w:t>
      </w:r>
      <w:r>
        <w:rPr>
          <w:rFonts w:eastAsia="等线" w:ascii="Arial" w:cs="Arial" w:hAnsi="Arial"/>
          <w:b w:val="true"/>
          <w:sz w:val="32"/>
        </w:rPr>
        <w:t>AutoCount Sync</w:t>
      </w:r>
      <w:bookmarkEnd w:id="5"/>
    </w:p>
    <w:p>
      <w:pPr>
        <w:numPr>
          <w:numId w:val="14"/>
        </w:numPr>
        <w:spacing w:before="120" w:after="120" w:line="288" w:lineRule="auto"/>
        <w:ind w:left="0"/>
        <w:jc w:val="left"/>
      </w:pPr>
      <w:r>
        <w:rPr>
          <w:rFonts w:eastAsia="等线" w:ascii="Arial" w:cs="Arial" w:hAnsi="Arial"/>
          <w:b w:val="true"/>
          <w:sz w:val="22"/>
        </w:rPr>
        <w:t>Confirm cutoff date with Fixguru</w:t>
      </w:r>
      <w:r>
        <w:rPr>
          <w:rFonts w:eastAsia="等线" w:ascii="Arial" w:cs="Arial" w:hAnsi="Arial"/>
          <w:sz w:val="22"/>
        </w:rPr>
        <w:t xml:space="preserve"> — agree snapshot date (likely 2nd UAT). Before = no sync. After = full two-way sync on all docs (SO, Invoice, etc.)</w:t>
      </w:r>
    </w:p>
    <w:p>
      <w:pPr>
        <w:numPr>
          <w:numId w:val="15"/>
        </w:numPr>
        <w:spacing w:before="120" w:after="120" w:line="288" w:lineRule="auto"/>
        <w:ind w:left="0"/>
        <w:jc w:val="left"/>
      </w:pPr>
      <w:r>
        <w:rPr>
          <w:rFonts w:eastAsia="等线" w:ascii="Arial" w:cs="Arial" w:hAnsi="Arial"/>
          <w:b w:val="true"/>
          <w:sz w:val="22"/>
        </w:rPr>
        <w:t>Scope standalone invoice sync</w:t>
      </w:r>
      <w:r>
        <w:rPr>
          <w:rFonts w:eastAsia="等线" w:ascii="Arial" w:cs="Arial" w:hAnsi="Arial"/>
          <w:sz w:val="22"/>
        </w:rPr>
        <w:t xml:space="preserve"> — AutoCount docs during migration period sync as standalone invoices into MAIA (no historical SO parent needed)</w:t>
      </w:r>
    </w:p>
    <w:p>
      <w:pPr>
        <w:numPr>
          <w:numId w:val="16"/>
        </w:numPr>
        <w:spacing w:before="120" w:after="120" w:line="288" w:lineRule="auto"/>
        <w:ind w:left="0"/>
        <w:jc w:val="left"/>
      </w:pPr>
      <w:r>
        <w:rPr>
          <w:rFonts w:eastAsia="等线" w:ascii="Arial" w:cs="Arial" w:hAnsi="Arial"/>
          <w:b w:val="true"/>
          <w:sz w:val="22"/>
        </w:rPr>
        <w:t>Add cutoff date config field</w:t>
      </w:r>
      <w:r>
        <w:rPr>
          <w:rFonts w:eastAsia="等线" w:ascii="Arial" w:cs="Arial" w:hAnsi="Arial"/>
          <w:sz w:val="22"/>
        </w:rPr>
        <w:t xml:space="preserve"> — hard-coded param in sync config; anything before cutoff untouched</w:t>
      </w:r>
    </w:p>
    <w:p>
      <w:pPr>
        <w:numPr>
          <w:numId w:val="17"/>
        </w:numPr>
        <w:spacing w:before="120" w:after="120" w:line="288" w:lineRule="auto"/>
        <w:ind w:left="0"/>
        <w:jc w:val="left"/>
      </w:pPr>
      <w:r>
        <w:rPr>
          <w:rFonts w:eastAsia="等线" w:ascii="Arial" w:cs="Arial" w:hAnsi="Arial"/>
          <w:b w:val="true"/>
          <w:sz w:val="22"/>
        </w:rPr>
        <w:t>Request snapshot file from Fixguru</w:t>
      </w:r>
      <w:r>
        <w:rPr>
          <w:rFonts w:eastAsia="等线" w:ascii="Arial" w:cs="Arial" w:hAnsi="Arial"/>
          <w:sz w:val="22"/>
        </w:rPr>
        <w:t xml:space="preserve"> at cutoff date — needs: (1) customer credit limits, (2) open invoice exposure per customer (statement of accounts). MAIA ingests to seed credit data.</w:t>
      </w:r>
    </w:p>
    <w:p>
      <w:pPr>
        <w:numPr>
          <w:numId w:val="18"/>
        </w:numPr>
        <w:spacing w:before="120" w:after="120" w:line="288" w:lineRule="auto"/>
        <w:ind w:left="0"/>
        <w:jc w:val="left"/>
      </w:pPr>
      <w:r>
        <w:rPr>
          <w:rFonts w:eastAsia="等线" w:ascii="Arial" w:cs="Arial" w:hAnsi="Arial"/>
          <w:b w:val="true"/>
          <w:sz w:val="22"/>
        </w:rPr>
        <w:t>Scope daily stock reconciliation</w:t>
      </w:r>
      <w:r>
        <w:rPr>
          <w:rFonts w:eastAsia="等线" w:ascii="Arial" w:cs="Arial" w:hAnsi="Arial"/>
          <w:sz w:val="22"/>
        </w:rPr>
        <w:t xml:space="preserve"> — configurable time (e.g. 7AM), MAIA pulls stock snapshot from AutoCount daily. Define policy per instance.</w:t>
      </w:r>
    </w:p>
    <w:p>
      <w:pPr>
        <w:numPr>
          <w:numId w:val="19"/>
        </w:numPr>
        <w:spacing w:before="120" w:after="120" w:line="288" w:lineRule="auto"/>
        <w:ind w:left="0"/>
        <w:jc w:val="left"/>
      </w:pPr>
      <w:r>
        <w:rPr>
          <w:rFonts w:eastAsia="等线" w:ascii="Arial" w:cs="Arial" w:hAnsi="Arial"/>
          <w:b w:val="true"/>
          <w:sz w:val="22"/>
        </w:rPr>
        <w:t>Resolve external ID mapping</w:t>
      </w:r>
      <w:r>
        <w:rPr>
          <w:rFonts w:eastAsia="等线" w:ascii="Arial" w:cs="Arial" w:hAnsi="Arial"/>
          <w:sz w:val="22"/>
        </w:rPr>
        <w:t xml:space="preserve"> — item created in MAIA → pushed to AutoCount → AutoCount generates different ID. MAIA must store + reference AutoCount's external ID.</w:t>
      </w:r>
    </w:p>
    <w:p>
      <w:pPr>
        <w:numPr>
          <w:numId w:val="20"/>
        </w:numPr>
        <w:spacing w:before="120" w:after="120" w:line="288" w:lineRule="auto"/>
        <w:ind w:left="0"/>
        <w:jc w:val="left"/>
      </w:pPr>
      <w:r>
        <w:rPr>
          <w:rFonts w:eastAsia="等线" w:ascii="Arial" w:cs="Arial" w:hAnsi="Arial"/>
          <w:b w:val="true"/>
          <w:strike w:val="true"/>
          <w:sz w:val="22"/>
        </w:rPr>
        <w:t>Fix item code display in chatbot</w:t>
      </w:r>
      <w:r>
        <w:rPr>
          <w:rFonts w:eastAsia="等线" w:ascii="Arial" w:cs="Arial" w:hAnsi="Arial"/>
          <w:strike w:val="true"/>
          <w:sz w:val="22"/>
        </w:rPr>
        <w:t xml:space="preserve"> — switch from MAIA internal ID to AutoCount external SKU</w:t>
      </w:r>
    </w:p>
    <w:p>
      <w:pPr>
        <w:numPr>
          <w:numId w:val="21"/>
        </w:numPr>
        <w:spacing w:before="120" w:after="120" w:line="288" w:lineRule="auto"/>
        <w:ind w:left="0"/>
        <w:jc w:val="left"/>
      </w:pPr>
      <w:r>
        <w:rPr>
          <w:rFonts w:eastAsia="等线" w:ascii="Arial" w:cs="Arial" w:hAnsi="Arial"/>
          <w:b w:val="true"/>
          <w:strike w:val="true"/>
          <w:sz w:val="22"/>
        </w:rPr>
        <w:t>Update retainer/SOW</w:t>
      </w:r>
      <w:r>
        <w:rPr>
          <w:rFonts w:eastAsia="等线" w:ascii="Arial" w:cs="Arial" w:hAnsi="Arial"/>
          <w:strike w:val="true"/>
          <w:sz w:val="22"/>
        </w:rPr>
        <w:t xml:space="preserve"> — two-way sync scope deviates from original spec; retainer revision needed</w:t>
      </w:r>
    </w:p>
    <w:p>
      <w:pPr>
        <w:numPr>
          <w:numId w:val="22"/>
        </w:numPr>
        <w:spacing w:before="120" w:after="120" w:line="288" w:lineRule="auto"/>
        <w:ind w:left="0"/>
        <w:jc w:val="left"/>
      </w:pPr>
      <w:r>
        <w:rPr>
          <w:rFonts w:eastAsia="等线" w:ascii="Arial" w:cs="Arial" w:hAnsi="Arial"/>
          <w:b w:val="true"/>
          <w:strike w:val="true"/>
          <w:sz w:val="22"/>
        </w:rPr>
        <w:t>Prepare in/out of scope doc</w:t>
      </w:r>
      <w:r>
        <w:rPr>
          <w:rFonts w:eastAsia="等线" w:ascii="Arial" w:cs="Arial" w:hAnsi="Arial"/>
          <w:strike w:val="true"/>
          <w:sz w:val="22"/>
        </w:rPr>
        <w:t xml:space="preserve"> — full list of what MAIA will/won't do for AutoCount sync. Bring to next Fixguru sync.</w:t>
      </w:r>
    </w:p>
    <w:p>
      <w:pPr>
        <w:numPr>
          <w:numId w:val="23"/>
        </w:numPr>
        <w:spacing w:before="120" w:after="120" w:line="288" w:lineRule="auto"/>
        <w:ind w:left="0"/>
        <w:jc w:val="left"/>
      </w:pPr>
      <w:r>
        <w:rPr>
          <w:rFonts w:eastAsia="等线" w:ascii="Arial" w:cs="Arial" w:hAnsi="Arial"/>
          <w:b w:val="true"/>
          <w:sz w:val="22"/>
        </w:rPr>
        <w:t>Out of scope:</w:t>
      </w:r>
      <w:r>
        <w:rPr>
          <w:rFonts w:eastAsia="等线" w:ascii="Arial" w:cs="Arial" w:hAnsi="Arial"/>
          <w:sz w:val="22"/>
        </w:rPr>
        <w:t xml:space="preserve"> Historical data migration (5–7 years) = chargeable separate service. Full 100k+ invoice backfill = not viable.</w:t>
      </w:r>
    </w:p>
    <w:p>
      <w:pPr>
        <w:numPr>
          <w:numId w:val="24"/>
        </w:numPr>
        <w:spacing w:before="120" w:after="120" w:line="288" w:lineRule="auto"/>
        <w:ind w:left="0"/>
        <w:jc w:val="left"/>
      </w:pPr>
      <w:r>
        <w:rPr>
          <w:rFonts w:eastAsia="等线" w:ascii="Arial" w:cs="Arial" w:hAnsi="Arial"/>
          <w:sz w:val="22"/>
        </w:rPr>
        <w:t>Create Item in MAIA, some way to sync to Autocount Item Code. Autocount assigned code must overried MAIA.</w:t>
      </w:r>
    </w:p>
    <w:p>
      <w:pPr>
        <w:numPr>
          <w:numId w:val="25"/>
        </w:numPr>
        <w:spacing w:before="120" w:after="120" w:line="288" w:lineRule="auto"/>
        <w:ind w:left="453"/>
        <w:jc w:val="left"/>
      </w:pPr>
      <w:r>
        <w:rPr>
          <w:rFonts w:eastAsia="等线" w:ascii="Arial" w:cs="Arial" w:hAnsi="Arial"/>
          <w:sz w:val="22"/>
        </w:rPr>
        <w:t>In MAIA, User set D10, but when push to AC, D10 exist, then D11 available, Item created as D11 in AC, then in MAIA D10 is overriden with D11</w:t>
      </w:r>
    </w:p>
    <w:p>
      <w:pPr>
        <w:numPr>
          <w:numId w:val="26"/>
        </w:numPr>
        <w:spacing w:before="120" w:after="120" w:line="288" w:lineRule="auto"/>
        <w:ind w:left="0"/>
        <w:jc w:val="left"/>
      </w:pPr>
      <w:r>
        <w:rPr>
          <w:rFonts w:eastAsia="等线" w:ascii="Arial" w:cs="Arial" w:hAnsi="Arial"/>
          <w:b w:val="true"/>
          <w:sz w:val="22"/>
        </w:rPr>
        <w:t>HQ + branch contact sync</w:t>
      </w:r>
      <w:r>
        <w:rPr>
          <w:rFonts w:eastAsia="等线" w:ascii="Arial" w:cs="Arial" w:hAnsi="Arial"/>
          <w:sz w:val="22"/>
        </w:rPr>
        <w:t xml:space="preserve"> — some Fixguru customers have multiple branches</w:t>
      </w:r>
      <w:r>
        <w:rPr>
          <w:rFonts w:eastAsia="等线" w:ascii="Arial" w:cs="Arial" w:hAnsi="Arial"/>
          <w:sz w:val="22"/>
        </w:rPr>
        <w:t xml:space="preserve"> (indah persona)</w:t>
      </w:r>
      <w:r>
        <w:rPr>
          <w:rFonts w:eastAsia="等线" w:ascii="Arial" w:cs="Arial" w:hAnsi="Arial"/>
          <w:sz w:val="22"/>
        </w:rPr>
        <w:t>. Chatbot must correctly assign the branch when creating the SO. Requires contact sync across HQ + branch.</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 w:id="6"/>
      <w:r>
        <w:rPr>
          <w:rFonts w:eastAsia="等线" w:ascii="Arial" w:cs="Arial" w:hAnsi="Arial"/>
          <w:b w:val="true"/>
          <w:sz w:val="32"/>
        </w:rPr>
        <w:t>Calculator</w:t>
      </w:r>
      <w:bookmarkEnd w:id="6"/>
    </w:p>
    <w:p>
      <w:pPr>
        <w:pStyle w:val="3"/>
        <w:spacing w:before="300" w:after="120" w:line="288" w:lineRule="auto"/>
        <w:ind w:left="0"/>
        <w:jc w:val="left"/>
        <w:outlineLvl w:val="2"/>
      </w:pPr>
      <w:bookmarkStart w:name="heading_7" w:id="7"/>
      <w:r>
        <w:rPr>
          <w:rFonts w:eastAsia="等线" w:ascii="Arial" w:cs="Arial" w:hAnsi="Arial"/>
          <w:b w:val="true"/>
          <w:sz w:val="30"/>
        </w:rPr>
        <w:t>Context</w:t>
      </w:r>
      <w:bookmarkEnd w:id="7"/>
    </w:p>
    <w:p>
      <w:pPr>
        <w:spacing w:before="120" w:after="120" w:line="288" w:lineRule="auto"/>
        <w:ind w:left="0"/>
        <w:jc w:val="left"/>
      </w:pPr>
      <w:r>
        <w:rPr>
          <w:rFonts w:eastAsia="等线" w:ascii="Arial" w:cs="Arial" w:hAnsi="Arial"/>
          <w:sz w:val="22"/>
        </w:rPr>
        <w:t>Fixguru uses a dimensional calculator (linear meter / square meter) for pricing raw materials (e.g. packaging boxes). They updated their calculator policy — samples needed. Customisation = chargeable change request.</w:t>
      </w:r>
    </w:p>
    <w:p>
      <w:pPr>
        <w:pStyle w:val="3"/>
        <w:spacing w:before="300" w:after="120" w:line="288" w:lineRule="auto"/>
        <w:ind w:left="0"/>
        <w:jc w:val="left"/>
        <w:outlineLvl w:val="2"/>
      </w:pPr>
      <w:bookmarkStart w:name="heading_8" w:id="8"/>
      <w:r>
        <w:rPr>
          <w:rFonts w:eastAsia="等线" w:ascii="Arial" w:cs="Arial" w:hAnsi="Arial"/>
          <w:b w:val="true"/>
          <w:color w:val="3370ff"/>
          <w:sz w:val="30"/>
        </w:rPr>
        <w:t>@Amirul Iman bin Amran</w:t>
      </w:r>
      <w:r>
        <w:rPr>
          <w:rFonts w:eastAsia="等线" w:ascii="Arial" w:cs="Arial" w:hAnsi="Arial"/>
          <w:b w:val="true"/>
          <w:sz w:val="30"/>
        </w:rPr>
        <w:t>Action Items</w:t>
      </w:r>
      <w:bookmarkEnd w:id="8"/>
    </w:p>
    <w:p>
      <w:pPr>
        <w:numPr>
          <w:numId w:val="27"/>
        </w:numPr>
        <w:spacing w:before="120" w:after="120" w:line="288" w:lineRule="auto"/>
        <w:ind w:left="0"/>
        <w:jc w:val="left"/>
      </w:pPr>
      <w:r>
        <w:rPr>
          <w:rFonts w:eastAsia="等线" w:ascii="Arial" w:cs="Arial" w:hAnsi="Arial"/>
          <w:b w:val="true"/>
          <w:strike w:val="true"/>
          <w:sz w:val="22"/>
        </w:rPr>
        <w:t>Remove SST from calculator display</w:t>
      </w:r>
      <w:r>
        <w:rPr>
          <w:rFonts w:eastAsia="等线" w:ascii="Arial" w:cs="Arial" w:hAnsi="Arial"/>
          <w:strike w:val="true"/>
          <w:sz w:val="22"/>
        </w:rPr>
        <w:t xml:space="preserve"> — Fixguru does not show tax to customers. Tax is in item master but must not surface in calculator or document output. Config fix (not code change).</w:t>
      </w:r>
    </w:p>
    <w:p>
      <w:pPr>
        <w:numPr>
          <w:numId w:val="28"/>
        </w:numPr>
        <w:spacing w:before="120" w:after="120" w:line="288" w:lineRule="auto"/>
        <w:ind w:left="0"/>
        <w:jc w:val="left"/>
      </w:pPr>
      <w:r>
        <w:rPr>
          <w:rFonts w:eastAsia="等线" w:ascii="Arial" w:cs="Arial" w:hAnsi="Arial"/>
          <w:b w:val="true"/>
          <w:strike w:val="true"/>
          <w:sz w:val="22"/>
        </w:rPr>
        <w:t>Enforce length ≥ width validation</w:t>
      </w:r>
      <w:r>
        <w:rPr>
          <w:rFonts w:eastAsia="等线" w:ascii="Arial" w:cs="Arial" w:hAnsi="Arial"/>
          <w:strike w:val="true"/>
          <w:sz w:val="22"/>
        </w:rPr>
        <w:t xml:space="preserve"> — physical constraint: if width &gt; length, they cannot print the box. Calculator must validate and enforce </w:t>
      </w:r>
      <w:r>
        <w:rPr>
          <w:rFonts w:eastAsia="Consolas" w:ascii="Consolas" w:cs="Consolas" w:hAnsi="Consolas"/>
          <w:strike w:val="true"/>
          <w:sz w:val="22"/>
          <w:shd w:fill="EFF0F1"/>
        </w:rPr>
        <w:t>length &gt;= width</w:t>
      </w:r>
      <w:r>
        <w:rPr>
          <w:rFonts w:eastAsia="等线" w:ascii="Arial" w:cs="Arial" w:hAnsi="Arial"/>
          <w:strike w:val="true"/>
          <w:sz w:val="22"/>
        </w:rPr>
        <w:t xml:space="preserve"> before allowing submission.</w:t>
      </w:r>
    </w:p>
    <w:p>
      <w:pPr>
        <w:numPr>
          <w:numId w:val="29"/>
        </w:numPr>
        <w:spacing w:before="120" w:after="120" w:line="288" w:lineRule="auto"/>
        <w:ind w:left="0"/>
        <w:jc w:val="left"/>
      </w:pPr>
      <w:r>
        <w:rPr>
          <w:rFonts w:eastAsia="等线" w:ascii="Arial" w:cs="Arial" w:hAnsi="Arial"/>
          <w:b w:val="true"/>
          <w:sz w:val="22"/>
        </w:rPr>
        <w:t>Confirm unit handling (linear meter)</w:t>
      </w:r>
      <w:r>
        <w:rPr>
          <w:rFonts w:eastAsia="等线" w:ascii="Arial" w:cs="Arial" w:hAnsi="Arial"/>
          <w:sz w:val="22"/>
        </w:rPr>
        <w:t xml:space="preserve"> — they measure in meters. Verify calculator correctly handles linear meter input and unit conversion edge cases.</w:t>
      </w:r>
      <w:r>
        <w:rPr>
          <w:rFonts w:eastAsia="等线" w:ascii="Arial" w:cs="Arial" w:hAnsi="Arial"/>
          <w:sz w:val="22"/>
        </w:rPr>
        <w:t xml:space="preserve"> </w:t>
      </w:r>
    </w:p>
    <w:p>
      <w:pPr>
        <w:numPr>
          <w:numId w:val="30"/>
        </w:numPr>
        <w:spacing w:before="120" w:after="120" w:line="288" w:lineRule="auto"/>
        <w:ind w:left="0"/>
        <w:jc w:val="left"/>
      </w:pPr>
      <w:r>
        <w:rPr>
          <w:rFonts w:eastAsia="等线" w:ascii="Arial" w:cs="Arial" w:hAnsi="Arial"/>
          <w:b w:val="true"/>
          <w:sz w:val="22"/>
        </w:rPr>
        <w:t>Sync volumetric formula to AutoCount</w:t>
      </w:r>
      <w:r>
        <w:rPr>
          <w:rFonts w:eastAsia="等线" w:ascii="Arial" w:cs="Arial" w:hAnsi="Arial"/>
          <w:sz w:val="22"/>
        </w:rPr>
        <w:t xml:space="preserve"> — volumetric/dimensional calculation must be passed to AutoCount on SO sync (for delivery note and driver reference).</w:t>
      </w:r>
      <w:r>
        <w:rPr>
          <w:rFonts w:eastAsia="等线" w:ascii="Arial" w:cs="Arial" w:hAnsi="Arial"/>
          <w:sz w:val="22"/>
        </w:rPr>
        <w:t xml:space="preserve"> </w:t>
      </w:r>
    </w:p>
    <w:p>
      <w:pPr>
        <w:numPr>
          <w:numId w:val="31"/>
        </w:numPr>
        <w:spacing w:before="120" w:after="120" w:line="288" w:lineRule="auto"/>
        <w:ind w:left="0"/>
        <w:jc w:val="left"/>
      </w:pPr>
      <w:r>
        <w:rPr>
          <w:rFonts w:eastAsia="等线" w:ascii="Arial" w:cs="Arial" w:hAnsi="Arial"/>
          <w:b w:val="true"/>
          <w:strike w:val="true"/>
          <w:sz w:val="22"/>
        </w:rPr>
        <w:t>Gather updated calculator policy samples from Fixguru</w:t>
      </w:r>
      <w:r>
        <w:rPr>
          <w:rFonts w:eastAsia="等线" w:ascii="Arial" w:cs="Arial" w:hAnsi="Arial"/>
          <w:strike w:val="true"/>
          <w:sz w:val="22"/>
        </w:rPr>
        <w:t xml:space="preserve"> — they updated transformation ratios and rules. Collect sample data, document all ratios (raw material per unit, composition breakdown).</w:t>
      </w:r>
      <w:r>
        <w:rPr>
          <w:rFonts w:eastAsia="等线" w:ascii="Arial" w:cs="Arial" w:hAnsi="Arial"/>
          <w:strike w:val="true"/>
          <w:sz w:val="22"/>
        </w:rPr>
        <w:t xml:space="preserve"> - CR</w:t>
      </w:r>
    </w:p>
    <w:p>
      <w:pPr>
        <w:numPr>
          <w:numId w:val="32"/>
        </w:numPr>
        <w:spacing w:before="120" w:after="120" w:line="288" w:lineRule="auto"/>
        <w:ind w:left="0"/>
        <w:jc w:val="left"/>
      </w:pPr>
      <w:r>
        <w:rPr>
          <w:rFonts w:eastAsia="等线" w:ascii="Arial" w:cs="Arial" w:hAnsi="Arial"/>
          <w:b w:val="true"/>
          <w:sz w:val="22"/>
        </w:rPr>
        <w:t>Scope composition/BOM customisation</w:t>
      </w:r>
      <w:r>
        <w:rPr>
          <w:rFonts w:eastAsia="等线" w:ascii="Arial" w:cs="Arial" w:hAnsi="Arial"/>
          <w:sz w:val="22"/>
        </w:rPr>
        <w:t xml:space="preserve"> — they have a composition-based stock calculation (not full manufacturing). Ask Fixguru: do they want to customise this? If yes → chargeable change request.</w:t>
      </w:r>
    </w:p>
    <w:p>
      <w:pPr>
        <w:numPr>
          <w:numId w:val="33"/>
        </w:numPr>
        <w:spacing w:before="120" w:after="120" w:line="288" w:lineRule="auto"/>
        <w:ind w:left="0"/>
        <w:jc w:val="left"/>
      </w:pPr>
      <w:r>
        <w:rPr>
          <w:rFonts w:eastAsia="等线" w:ascii="Arial" w:cs="Arial" w:hAnsi="Arial"/>
          <w:b w:val="true"/>
          <w:strike w:val="true"/>
          <w:sz w:val="22"/>
        </w:rPr>
        <w:t>UI/UX fixes on calculator</w:t>
      </w:r>
      <w:r>
        <w:rPr>
          <w:rFonts w:eastAsia="等线" w:ascii="Arial" w:cs="Arial" w:hAnsi="Arial"/>
          <w:strike w:val="true"/>
          <w:sz w:val="22"/>
        </w:rPr>
        <w:t xml:space="preserve"> — Amir to review and fix calculator UI (flagged as enhancement, not a blocker).</w:t>
      </w:r>
    </w:p>
    <w:p>
      <w:pPr>
        <w:pStyle w:val="2"/>
        <w:spacing w:before="320" w:after="120" w:line="288" w:lineRule="auto"/>
        <w:ind w:left="0"/>
        <w:jc w:val="left"/>
        <w:outlineLvl w:val="1"/>
      </w:pPr>
      <w:bookmarkStart w:name="heading_9" w:id="9"/>
      <w:r>
        <w:rPr>
          <w:rFonts w:eastAsia="等线" w:ascii="Arial" w:cs="Arial" w:hAnsi="Arial"/>
          <w:b w:val="true"/>
          <w:sz w:val="32"/>
        </w:rPr>
        <w:t>PDF Template</w:t>
      </w:r>
      <w:bookmarkEnd w:id="9"/>
    </w:p>
    <w:p>
      <w:pPr>
        <w:pStyle w:val="3"/>
        <w:spacing w:before="300" w:after="120" w:line="288" w:lineRule="auto"/>
        <w:ind w:left="0"/>
        <w:jc w:val="left"/>
        <w:outlineLvl w:val="2"/>
      </w:pPr>
      <w:bookmarkStart w:name="heading_10" w:id="10"/>
      <w:r>
        <w:rPr>
          <w:rFonts w:eastAsia="等线" w:ascii="Arial" w:cs="Arial" w:hAnsi="Arial"/>
          <w:b w:val="true"/>
          <w:sz w:val="30"/>
        </w:rPr>
        <w:t>Context</w:t>
      </w:r>
      <w:bookmarkEnd w:id="10"/>
    </w:p>
    <w:p>
      <w:pPr>
        <w:spacing w:before="120" w:after="120" w:line="288" w:lineRule="auto"/>
        <w:ind w:left="0"/>
        <w:jc w:val="left"/>
      </w:pPr>
      <w:r>
        <w:rPr>
          <w:rFonts w:eastAsia="等线" w:ascii="Arial" w:cs="Arial" w:hAnsi="Arial"/>
          <w:sz w:val="22"/>
        </w:rPr>
        <w:t xml:space="preserve">Fixguru's current workflow: SO draft → AutoCount PDF → send as pro-forma to customer → back-and-forth adjustments → confirm → proceed to next stage in MAIA. They </w:t>
      </w:r>
      <w:r>
        <w:rPr>
          <w:rFonts w:eastAsia="等线" w:ascii="Arial" w:cs="Arial" w:hAnsi="Arial"/>
          <w:b w:val="true"/>
          <w:sz w:val="22"/>
        </w:rPr>
        <w:t>prefer AutoCount's PDF format</w:t>
      </w:r>
      <w:r>
        <w:rPr>
          <w:rFonts w:eastAsia="等线" w:ascii="Arial" w:cs="Arial" w:hAnsi="Arial"/>
          <w:sz w:val="22"/>
        </w:rPr>
        <w:t xml:space="preserve"> over MAIA's V3 PDF. Need to clarify scope.</w:t>
      </w:r>
    </w:p>
    <w:p>
      <w:pPr>
        <w:pStyle w:val="3"/>
        <w:spacing w:before="300" w:after="120" w:line="288" w:lineRule="auto"/>
        <w:ind w:left="0"/>
        <w:jc w:val="left"/>
        <w:outlineLvl w:val="2"/>
      </w:pPr>
      <w:bookmarkStart w:name="heading_11" w:id="11"/>
      <w:r>
        <w:rPr>
          <w:rFonts w:eastAsia="等线" w:ascii="Arial" w:cs="Arial" w:hAnsi="Arial"/>
          <w:b w:val="true"/>
          <w:sz w:val="30"/>
        </w:rPr>
        <w:t>Action Items</w:t>
      </w:r>
      <w:bookmarkEnd w:id="11"/>
    </w:p>
    <w:p>
      <w:pPr>
        <w:numPr>
          <w:numId w:val="34"/>
        </w:numPr>
        <w:spacing w:before="120" w:after="120" w:line="288" w:lineRule="auto"/>
        <w:ind w:left="0"/>
        <w:jc w:val="left"/>
      </w:pPr>
      <w:r>
        <w:rPr>
          <w:rFonts w:eastAsia="等线" w:ascii="Arial" w:cs="Arial" w:hAnsi="Arial"/>
          <w:color w:val="3370ff"/>
          <w:sz w:val="22"/>
        </w:rPr>
        <w:t>@Wei Yon</w:t>
      </w:r>
      <w:r>
        <w:rPr>
          <w:rFonts w:eastAsia="等线" w:ascii="Arial" w:cs="Arial" w:hAnsi="Arial"/>
          <w:color w:val="3370ff"/>
          <w:sz w:val="22"/>
        </w:rPr>
        <w:t>@Muhammad Azib Iqbal Bin Harun</w:t>
      </w:r>
      <w:r>
        <w:rPr>
          <w:rFonts w:eastAsia="等线" w:ascii="Arial" w:cs="Arial" w:hAnsi="Arial"/>
          <w:sz w:val="22"/>
        </w:rPr>
        <w:t>To export the HTML and CSS from AC for us to review.</w:t>
      </w:r>
    </w:p>
    <w:p>
      <w:pPr>
        <w:numPr>
          <w:numId w:val="35"/>
        </w:numPr>
        <w:spacing w:before="120" w:after="120" w:line="288" w:lineRule="auto"/>
        <w:ind w:left="453"/>
        <w:jc w:val="left"/>
      </w:pPr>
      <w:r>
        <w:rPr>
          <w:rFonts w:eastAsia="等线" w:ascii="Arial" w:cs="Arial" w:hAnsi="Arial"/>
          <w:color w:val="3370ff"/>
          <w:sz w:val="22"/>
        </w:rPr>
        <w:t>@Amirul Iman bin Amran</w:t>
      </w:r>
      <w:r>
        <w:rPr>
          <w:rFonts w:eastAsia="等线" w:ascii="Arial" w:cs="Arial" w:hAnsi="Arial"/>
          <w:sz w:val="22"/>
        </w:rPr>
        <w:t>If got HTML and CSS, Rahim to write a generator for Fixguru</w:t>
      </w:r>
    </w:p>
    <w:p>
      <w:pPr>
        <w:numPr>
          <w:numId w:val="36"/>
        </w:numPr>
        <w:spacing w:before="120" w:after="120" w:line="288" w:lineRule="auto"/>
        <w:ind w:left="0"/>
        <w:jc w:val="left"/>
      </w:pPr>
      <w:r>
        <w:rPr>
          <w:rFonts w:eastAsia="等线" w:ascii="Arial" w:cs="Arial" w:hAnsi="Arial"/>
          <w:b w:val="true"/>
          <w:strike w:val="true"/>
          <w:sz w:val="22"/>
        </w:rPr>
        <w:t>Clarify PDF scope with Fixguru</w:t>
      </w:r>
      <w:r>
        <w:rPr>
          <w:rFonts w:eastAsia="等线" w:ascii="Arial" w:cs="Arial" w:hAnsi="Arial"/>
          <w:strike w:val="true"/>
          <w:sz w:val="22"/>
        </w:rPr>
        <w:t xml:space="preserve"> — confirm if MAIA PDF V3 customisation is in scope, or if they will use AutoCount's PDF for all customer-facing documents</w:t>
      </w:r>
    </w:p>
    <w:p>
      <w:pPr>
        <w:numPr>
          <w:numId w:val="37"/>
        </w:numPr>
        <w:spacing w:before="120" w:after="120" w:line="288" w:lineRule="auto"/>
        <w:ind w:left="0"/>
        <w:jc w:val="left"/>
      </w:pPr>
      <w:r>
        <w:rPr>
          <w:rFonts w:eastAsia="等线" w:ascii="Arial" w:cs="Arial" w:hAnsi="Arial"/>
          <w:b w:val="true"/>
          <w:strike w:val="true"/>
          <w:sz w:val="22"/>
        </w:rPr>
        <w:t>Fix item code on PDF</w:t>
      </w:r>
      <w:r>
        <w:rPr>
          <w:rFonts w:eastAsia="等线" w:ascii="Arial" w:cs="Arial" w:hAnsi="Arial"/>
          <w:strike w:val="true"/>
          <w:sz w:val="22"/>
        </w:rPr>
        <w:t xml:space="preserve"> — currently shows MAIA internal ID; must show AutoCount's external item code</w:t>
      </w:r>
    </w:p>
    <w:p>
      <w:pPr>
        <w:numPr>
          <w:numId w:val="38"/>
        </w:numPr>
        <w:spacing w:before="120" w:after="120" w:line="288" w:lineRule="auto"/>
        <w:ind w:left="0"/>
        <w:jc w:val="left"/>
      </w:pPr>
      <w:r>
        <w:rPr>
          <w:rFonts w:eastAsia="等线" w:ascii="Arial" w:cs="Arial" w:hAnsi="Arial"/>
          <w:b w:val="true"/>
          <w:sz w:val="22"/>
        </w:rPr>
        <w:t>Delivery note PDF — multiple warehouse checks</w:t>
      </w:r>
      <w:r>
        <w:rPr>
          <w:rFonts w:eastAsia="等线" w:ascii="Arial" w:cs="Arial" w:hAnsi="Arial"/>
          <w:sz w:val="22"/>
        </w:rPr>
        <w:t xml:space="preserve"> — Fixguru's delivery note requires more than one warehouse check field; current PDF only shows one</w:t>
      </w:r>
    </w:p>
    <w:p>
      <w:pPr>
        <w:numPr>
          <w:numId w:val="39"/>
        </w:numPr>
        <w:spacing w:before="120" w:after="120" w:line="288" w:lineRule="auto"/>
        <w:ind w:left="0"/>
        <w:jc w:val="left"/>
      </w:pPr>
      <w:r>
        <w:rPr>
          <w:rFonts w:eastAsia="等线" w:ascii="Arial" w:cs="Arial" w:hAnsi="Arial"/>
          <w:b w:val="true"/>
          <w:sz w:val="22"/>
        </w:rPr>
        <w:t>Sync volumetric formula to PDF</w:t>
      </w:r>
      <w:r>
        <w:rPr>
          <w:rFonts w:eastAsia="等线" w:ascii="Arial" w:cs="Arial" w:hAnsi="Arial"/>
          <w:sz w:val="22"/>
        </w:rPr>
        <w:t xml:space="preserve"> — dimensional/volumetric calculation must appear on PDF output (SO and/or delivery note)</w:t>
      </w:r>
    </w:p>
    <w:p>
      <w:pPr>
        <w:numPr>
          <w:numId w:val="40"/>
        </w:numPr>
        <w:spacing w:before="120" w:after="120" w:line="288" w:lineRule="auto"/>
        <w:ind w:left="0"/>
        <w:jc w:val="left"/>
      </w:pPr>
      <w:r>
        <w:rPr>
          <w:rFonts w:eastAsia="等线" w:ascii="Arial" w:cs="Arial" w:hAnsi="Arial"/>
          <w:b w:val="true"/>
          <w:strike w:val="true"/>
          <w:sz w:val="22"/>
        </w:rPr>
        <w:t>Define SO draft → pro-forma workflow</w:t>
      </w:r>
      <w:r>
        <w:rPr>
          <w:rFonts w:eastAsia="等线" w:ascii="Arial" w:cs="Arial" w:hAnsi="Arial"/>
          <w:strike w:val="true"/>
          <w:sz w:val="22"/>
        </w:rPr>
        <w:t xml:space="preserve"> — document the handoff: MAIA SO draft syncs to AutoCount → AutoCount PDF used as pro-forma → customer confirms → adjustments looped back → advance stage in MAIA</w:t>
      </w:r>
    </w:p>
    <w:p>
      <w:pPr>
        <w:pStyle w:val="3"/>
        <w:spacing w:before="300" w:after="120" w:line="288" w:lineRule="auto"/>
        <w:ind w:left="0"/>
        <w:jc w:val="left"/>
        <w:outlineLvl w:val="2"/>
      </w:pPr>
      <w:bookmarkStart w:name="heading_12" w:id="12"/>
      <w:r>
        <w:rPr>
          <w:rFonts w:eastAsia="等线" w:ascii="Arial" w:cs="Arial" w:hAnsi="Arial"/>
          <w:b w:val="true"/>
          <w:sz w:val="30"/>
        </w:rPr>
        <w:t>Out of Scope (to confirm)</w:t>
      </w:r>
      <w:bookmarkEnd w:id="12"/>
    </w:p>
    <w:p>
      <w:pPr>
        <w:numPr>
          <w:numId w:val="41"/>
        </w:numPr>
        <w:spacing w:before="120" w:after="120" w:line="288" w:lineRule="auto"/>
        <w:ind w:left="0"/>
        <w:jc w:val="left"/>
      </w:pPr>
      <w:r>
        <w:rPr>
          <w:rFonts w:eastAsia="等线" w:ascii="Arial" w:cs="Arial" w:hAnsi="Arial"/>
          <w:sz w:val="22"/>
        </w:rPr>
        <w:t>Full PDF template redesign to match AutoCount's layout — if confirmed out of scope, document and manage expectation with Fixguru</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 w:id="13"/>
      <w:r>
        <w:rPr>
          <w:rFonts w:eastAsia="等线" w:ascii="Arial" w:cs="Arial" w:hAnsi="Arial"/>
          <w:b w:val="true"/>
          <w:color w:val="3370ff"/>
          <w:sz w:val="32"/>
        </w:rPr>
        <w:t>@Fariha Anis</w:t>
      </w:r>
      <w:r>
        <w:rPr>
          <w:rFonts w:eastAsia="等线" w:ascii="Arial" w:cs="Arial" w:hAnsi="Arial"/>
          <w:b w:val="true"/>
          <w:color w:val="3370ff"/>
          <w:sz w:val="32"/>
        </w:rPr>
        <w:t>@Abdul Haiqal Abdul Aziz</w:t>
      </w:r>
      <w:r>
        <w:rPr>
          <w:rFonts w:eastAsia="等线" w:ascii="Arial" w:cs="Arial" w:hAnsi="Arial"/>
          <w:b w:val="true"/>
          <w:color w:val="3370ff"/>
          <w:sz w:val="32"/>
        </w:rPr>
        <w:t>@Afiq Aqil</w:t>
      </w:r>
      <w:r>
        <w:rPr>
          <w:rFonts w:eastAsia="等线" w:ascii="Arial" w:cs="Arial" w:hAnsi="Arial"/>
          <w:b w:val="true"/>
          <w:sz w:val="32"/>
        </w:rPr>
        <w:t xml:space="preserve"> </w:t>
      </w:r>
      <w:r>
        <w:rPr>
          <w:rFonts w:eastAsia="等线" w:ascii="Arial" w:cs="Arial" w:hAnsi="Arial"/>
          <w:b w:val="true"/>
          <w:sz w:val="32"/>
        </w:rPr>
        <w:t>Credit Limit ⚠️ Scope Change</w:t>
      </w:r>
      <w:bookmarkEnd w:id="13"/>
    </w:p>
    <w:p>
      <w:pPr>
        <w:pStyle w:val="3"/>
        <w:spacing w:before="300" w:after="120" w:line="288" w:lineRule="auto"/>
        <w:ind w:left="0"/>
        <w:jc w:val="left"/>
        <w:outlineLvl w:val="2"/>
      </w:pPr>
      <w:bookmarkStart w:name="heading_14" w:id="14"/>
      <w:r>
        <w:rPr>
          <w:rFonts w:eastAsia="等线" w:ascii="Arial" w:cs="Arial" w:hAnsi="Arial"/>
          <w:b w:val="true"/>
          <w:sz w:val="30"/>
        </w:rPr>
        <w:t>What changed</w:t>
      </w:r>
      <w:bookmarkEnd w:id="14"/>
    </w:p>
    <w:p>
      <w:pPr>
        <w:spacing w:before="120" w:after="120" w:line="288" w:lineRule="auto"/>
        <w:ind w:left="0"/>
        <w:jc w:val="left"/>
      </w:pPr>
      <w:r>
        <w:rPr>
          <w:rFonts w:eastAsia="等线" w:ascii="Arial" w:cs="Arial" w:hAnsi="Arial"/>
          <w:sz w:val="22"/>
        </w:rPr>
        <w:t>Original spec: MAIA tracks SO amount only for credit exposure.</w:t>
        <w:br/>
      </w:r>
      <w:r>
        <w:rPr>
          <w:rFonts w:eastAsia="等线" w:ascii="Arial" w:cs="Arial" w:hAnsi="Arial"/>
          <w:sz w:val="22"/>
        </w:rPr>
        <w:t xml:space="preserve"> New requirement: full credit exposure = </w:t>
      </w:r>
      <w:r>
        <w:rPr>
          <w:rFonts w:eastAsia="等线" w:ascii="Arial" w:cs="Arial" w:hAnsi="Arial"/>
          <w:b w:val="true"/>
          <w:sz w:val="22"/>
        </w:rPr>
        <w:t>unbilled SO amount + outstanding invoices</w:t>
      </w:r>
      <w:r>
        <w:rPr>
          <w:rFonts w:eastAsia="等线" w:ascii="Arial" w:cs="Arial" w:hAnsi="Arial"/>
          <w:sz w:val="22"/>
        </w:rPr>
        <w:t>. Data must come from AutoCount via two-way sync to be accurate.</w:t>
      </w:r>
    </w:p>
    <w:p>
      <w:pPr>
        <w:pStyle w:val="3"/>
        <w:spacing w:before="300" w:after="120" w:line="288" w:lineRule="auto"/>
        <w:ind w:left="0"/>
        <w:jc w:val="left"/>
        <w:outlineLvl w:val="2"/>
      </w:pPr>
      <w:bookmarkStart w:name="heading_15" w:id="15"/>
      <w:r>
        <w:rPr>
          <w:rFonts w:eastAsia="等线" w:ascii="Arial" w:cs="Arial" w:hAnsi="Arial"/>
          <w:b w:val="true"/>
          <w:sz w:val="30"/>
        </w:rPr>
        <w:t>Formula</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Credit Exposure = (SO amount − already invoiced) + outstanding unpaid invoices</w:t>
            </w:r>
          </w:p>
        </w:tc>
      </w:tr>
    </w:tbl>
    <w:p>
      <w:pPr>
        <w:numPr>
          <w:numId w:val="42"/>
        </w:numPr>
        <w:spacing w:before="120" w:after="120" w:line="288" w:lineRule="auto"/>
        <w:ind w:left="0"/>
        <w:jc w:val="left"/>
      </w:pPr>
      <w:r>
        <w:rPr>
          <w:rFonts w:eastAsia="等线" w:ascii="Arial" w:cs="Arial" w:hAnsi="Arial"/>
          <w:sz w:val="22"/>
        </w:rPr>
        <w:t>Exclude: draft docs, closed/paid invoices</w:t>
      </w:r>
    </w:p>
    <w:p>
      <w:pPr>
        <w:numPr>
          <w:numId w:val="43"/>
        </w:numPr>
        <w:spacing w:before="120" w:after="120" w:line="288" w:lineRule="auto"/>
        <w:ind w:left="0"/>
        <w:jc w:val="left"/>
      </w:pPr>
      <w:r>
        <w:rPr>
          <w:rFonts w:eastAsia="等线" w:ascii="Arial" w:cs="Arial" w:hAnsi="Arial"/>
          <w:sz w:val="22"/>
        </w:rPr>
        <w:t>Include: all open SO, SI, credit/debit notes (except draft)</w:t>
      </w:r>
    </w:p>
    <w:p>
      <w:pPr>
        <w:pStyle w:val="3"/>
        <w:spacing w:before="300" w:after="120" w:line="288" w:lineRule="auto"/>
        <w:ind w:left="0"/>
        <w:jc w:val="left"/>
        <w:outlineLvl w:val="2"/>
      </w:pPr>
      <w:bookmarkStart w:name="heading_16" w:id="16"/>
      <w:r>
        <w:rPr>
          <w:rFonts w:eastAsia="等线" w:ascii="Arial" w:cs="Arial" w:hAnsi="Arial"/>
          <w:b w:val="true"/>
          <w:sz w:val="30"/>
        </w:rPr>
        <w:t>Action Items</w:t>
      </w:r>
      <w:bookmarkEnd w:id="16"/>
    </w:p>
    <w:p>
      <w:pPr>
        <w:numPr>
          <w:numId w:val="44"/>
        </w:numPr>
        <w:spacing w:before="120" w:after="120" w:line="288" w:lineRule="auto"/>
        <w:ind w:left="0"/>
        <w:jc w:val="left"/>
      </w:pPr>
      <w:r>
        <w:rPr>
          <w:rFonts w:eastAsia="等线" w:ascii="Arial" w:cs="Arial" w:hAnsi="Arial"/>
          <w:b w:val="true"/>
          <w:sz w:val="22"/>
        </w:rPr>
        <w:t>Update credit exposure formula</w:t>
      </w:r>
      <w:r>
        <w:rPr>
          <w:rFonts w:eastAsia="等线" w:ascii="Arial" w:cs="Arial" w:hAnsi="Arial"/>
          <w:sz w:val="22"/>
        </w:rPr>
        <w:t xml:space="preserve"> — change from SO amount only to: unbilled SO amount + outstanding invoice amount</w:t>
      </w:r>
    </w:p>
    <w:p>
      <w:pPr>
        <w:numPr>
          <w:numId w:val="45"/>
        </w:numPr>
        <w:spacing w:before="120" w:after="120" w:line="288" w:lineRule="auto"/>
        <w:ind w:left="0"/>
        <w:jc w:val="left"/>
      </w:pPr>
      <w:r>
        <w:rPr>
          <w:rFonts w:eastAsia="等线" w:ascii="Arial" w:cs="Arial" w:hAnsi="Arial"/>
          <w:b w:val="true"/>
          <w:sz w:val="22"/>
        </w:rPr>
        <w:t>Exclude draft documents</w:t>
      </w:r>
      <w:r>
        <w:rPr>
          <w:rFonts w:eastAsia="等线" w:ascii="Arial" w:cs="Arial" w:hAnsi="Arial"/>
          <w:sz w:val="22"/>
        </w:rPr>
        <w:t xml:space="preserve"> from credit exposure calculation</w:t>
      </w:r>
    </w:p>
    <w:p>
      <w:pPr>
        <w:numPr>
          <w:numId w:val="46"/>
        </w:numPr>
        <w:spacing w:before="120" w:after="120" w:line="288" w:lineRule="auto"/>
        <w:ind w:left="0"/>
        <w:jc w:val="left"/>
      </w:pPr>
      <w:r>
        <w:rPr>
          <w:rFonts w:eastAsia="等线" w:ascii="Arial" w:cs="Arial" w:hAnsi="Arial"/>
          <w:b w:val="true"/>
          <w:sz w:val="22"/>
        </w:rPr>
        <w:t>Surface credit limit in chatbot</w:t>
      </w:r>
      <w:r>
        <w:rPr>
          <w:rFonts w:eastAsia="等线" w:ascii="Arial" w:cs="Arial" w:hAnsi="Arial"/>
          <w:sz w:val="22"/>
        </w:rPr>
        <w:t xml:space="preserve"> — when sales user creates new SO, chatbot must show: credit limit, current exposure, available balance. Block or warn if exceeded.</w:t>
      </w:r>
    </w:p>
    <w:p>
      <w:pPr>
        <w:numPr>
          <w:numId w:val="47"/>
        </w:numPr>
        <w:spacing w:before="120" w:after="120" w:line="288" w:lineRule="auto"/>
        <w:ind w:left="0"/>
        <w:jc w:val="left"/>
      </w:pPr>
      <w:r>
        <w:rPr>
          <w:rFonts w:eastAsia="等线" w:ascii="Arial" w:cs="Arial" w:hAnsi="Arial"/>
          <w:b w:val="true"/>
          <w:sz w:val="22"/>
        </w:rPr>
        <w:t>Pull credit data from AutoCount</w:t>
      </w:r>
      <w:r>
        <w:rPr>
          <w:rFonts w:eastAsia="等线" w:ascii="Arial" w:cs="Arial" w:hAnsi="Arial"/>
          <w:sz w:val="22"/>
        </w:rPr>
        <w:t xml:space="preserve"> — accurate credit limit requires AutoCount data via two-way sync (MAIA alone cannot guarantee accuracy without it)</w:t>
      </w:r>
    </w:p>
    <w:p>
      <w:pPr>
        <w:numPr>
          <w:numId w:val="48"/>
        </w:numPr>
        <w:spacing w:before="120" w:after="120" w:line="288" w:lineRule="auto"/>
        <w:ind w:left="0"/>
        <w:jc w:val="left"/>
      </w:pPr>
      <w:r>
        <w:rPr>
          <w:rFonts w:eastAsia="等线" w:ascii="Arial" w:cs="Arial" w:hAnsi="Arial"/>
          <w:b w:val="true"/>
          <w:sz w:val="22"/>
        </w:rPr>
        <w:t>Scope credit limit as scope change</w:t>
      </w:r>
      <w:r>
        <w:rPr>
          <w:rFonts w:eastAsia="等线" w:ascii="Arial" w:cs="Arial" w:hAnsi="Arial"/>
          <w:sz w:val="22"/>
        </w:rPr>
        <w:t xml:space="preserve"> — document deviation from original spec, flag to Fixguru, update SOW/retainer accordingly</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7" w:id="17"/>
      <w:r>
        <w:rPr>
          <w:rFonts w:eastAsia="等线" w:ascii="Arial" w:cs="Arial" w:hAnsi="Arial"/>
          <w:b w:val="true"/>
          <w:sz w:val="32"/>
        </w:rPr>
        <w:t>Chatbot</w:t>
      </w:r>
      <w:bookmarkEnd w:id="17"/>
    </w:p>
    <w:p>
      <w:pPr>
        <w:numPr>
          <w:numId w:val="49"/>
        </w:numPr>
        <w:spacing w:before="120" w:after="120" w:line="288" w:lineRule="auto"/>
        <w:ind w:left="0"/>
        <w:jc w:val="left"/>
      </w:pPr>
      <w:r>
        <w:rPr>
          <w:rFonts w:eastAsia="等线" w:ascii="Arial" w:cs="Arial" w:hAnsi="Arial"/>
          <w:b w:val="true"/>
          <w:sz w:val="22"/>
        </w:rPr>
        <w:t>Language preference — store in DB</w:t>
      </w:r>
      <w:r>
        <w:rPr>
          <w:rFonts w:eastAsia="等线" w:ascii="Arial" w:cs="Arial" w:hAnsi="Arial"/>
          <w:sz w:val="22"/>
        </w:rPr>
        <w:t xml:space="preserve"> — user can set English or Malay response preference. Store in DB (not chatbot chain). Pending Amir's user context feature.</w:t>
      </w:r>
      <w:r>
        <w:rPr>
          <w:rFonts w:eastAsia="等线" w:ascii="Arial" w:cs="Arial" w:hAnsi="Arial"/>
          <w:sz w:val="22"/>
        </w:rPr>
        <w:t xml:space="preserve"> ETA 5/21</w:t>
      </w:r>
    </w:p>
    <w:p>
      <w:pPr>
        <w:numPr>
          <w:numId w:val="50"/>
        </w:numPr>
        <w:spacing w:before="120" w:after="120" w:line="288" w:lineRule="auto"/>
        <w:ind w:left="0"/>
        <w:jc w:val="left"/>
      </w:pPr>
      <w:r>
        <w:rPr>
          <w:rFonts w:eastAsia="等线" w:ascii="Arial" w:cs="Arial" w:hAnsi="Arial"/>
          <w:b w:val="true"/>
          <w:sz w:val="22"/>
        </w:rPr>
        <w:t>Language handling policy (per SOW — set expectation with Fixguru)</w:t>
      </w:r>
      <w:r>
        <w:rPr>
          <w:rFonts w:eastAsia="等线" w:ascii="Arial" w:cs="Arial" w:hAnsi="Arial"/>
          <w:sz w:val="22"/>
        </w:rPr>
        <w:t xml:space="preserve"> — intake: any language including Mandarin. Response: English or Malay only (user preference). Mandarin response = </w:t>
      </w:r>
      <w:r>
        <w:rPr>
          <w:rFonts w:eastAsia="等线" w:ascii="Arial" w:cs="Arial" w:hAnsi="Arial"/>
          <w:sz w:val="22"/>
        </w:rPr>
        <w:t>Must support, in SOW</w:t>
      </w:r>
      <w:r>
        <w:rPr>
          <w:rFonts w:eastAsia="等线" w:ascii="Arial" w:cs="Arial" w:hAnsi="Arial"/>
          <w:sz w:val="22"/>
        </w:rPr>
        <w:t>. To test (QC Mandarin)</w:t>
      </w:r>
    </w:p>
    <w:p>
      <w:pPr>
        <w:numPr>
          <w:numId w:val="51"/>
        </w:numPr>
        <w:spacing w:before="120" w:after="120" w:line="288" w:lineRule="auto"/>
        <w:ind w:left="0"/>
        <w:jc w:val="left"/>
      </w:pPr>
      <w:r>
        <w:rPr>
          <w:rFonts w:eastAsia="等线" w:ascii="Arial" w:cs="Arial" w:hAnsi="Arial"/>
          <w:b w:val="true"/>
          <w:strike w:val="true"/>
          <w:sz w:val="22"/>
        </w:rPr>
        <w:t>Ambiguity detector</w:t>
      </w:r>
      <w:r>
        <w:rPr>
          <w:rFonts w:eastAsia="等线" w:ascii="Arial" w:cs="Arial" w:hAnsi="Arial"/>
          <w:strike w:val="true"/>
          <w:sz w:val="22"/>
        </w:rPr>
        <w:t xml:space="preserve"> — if classifier cannot classify intent, chatbot must ask for clarification. Do not guess. Critical — this solves most language edge cases too.</w:t>
      </w:r>
    </w:p>
    <w:p>
      <w:pPr>
        <w:numPr>
          <w:numId w:val="52"/>
        </w:numPr>
        <w:spacing w:before="120" w:after="120" w:line="288" w:lineRule="auto"/>
        <w:ind w:left="0"/>
        <w:jc w:val="left"/>
      </w:pPr>
      <w:r>
        <w:rPr>
          <w:rFonts w:eastAsia="等线" w:ascii="Arial" w:cs="Arial" w:hAnsi="Arial"/>
          <w:b w:val="true"/>
          <w:sz w:val="22"/>
        </w:rPr>
        <w:t>Item display format</w:t>
      </w:r>
      <w:r>
        <w:rPr>
          <w:rFonts w:eastAsia="等线" w:ascii="Arial" w:cs="Arial" w:hAnsi="Arial"/>
          <w:sz w:val="22"/>
        </w:rPr>
        <w:t xml:space="preserve"> — chatbot must show </w:t>
      </w:r>
      <w:r>
        <w:rPr>
          <w:rFonts w:eastAsia="Consolas" w:ascii="Consolas" w:cs="Consolas" w:hAnsi="Consolas"/>
          <w:sz w:val="22"/>
          <w:shd w:fill="EFF0F1"/>
        </w:rPr>
        <w:t>[item_code] [brand] [item_name]</w:t>
      </w:r>
      <w:r>
        <w:rPr>
          <w:rFonts w:eastAsia="等线" w:ascii="Arial" w:cs="Arial" w:hAnsi="Arial"/>
          <w:sz w:val="22"/>
        </w:rPr>
        <w:t xml:space="preserve"> + external SKU (AutoCount ID). Do not show MAIA internal ID.</w:t>
      </w:r>
      <w:r>
        <w:rPr>
          <w:rFonts w:eastAsia="等线" w:ascii="Arial" w:cs="Arial" w:hAnsi="Arial"/>
          <w:sz w:val="22"/>
        </w:rPr>
        <w:t xml:space="preserve"> To test</w:t>
      </w:r>
    </w:p>
    <w:p>
      <w:pPr>
        <w:numPr>
          <w:numId w:val="53"/>
        </w:numPr>
        <w:spacing w:before="120" w:after="120" w:line="288" w:lineRule="auto"/>
        <w:ind w:left="0"/>
        <w:jc w:val="left"/>
      </w:pPr>
      <w:r>
        <w:rPr>
          <w:rFonts w:eastAsia="等线" w:ascii="Arial" w:cs="Arial" w:hAnsi="Arial"/>
          <w:b w:val="true"/>
          <w:sz w:val="22"/>
        </w:rPr>
        <w:t>Item search keys</w:t>
      </w:r>
      <w:r>
        <w:rPr>
          <w:rFonts w:eastAsia="等线" w:ascii="Arial" w:cs="Arial" w:hAnsi="Arial"/>
          <w:sz w:val="22"/>
        </w:rPr>
        <w:t xml:space="preserve"> — chatbot must search by </w:t>
      </w:r>
      <w:r>
        <w:rPr>
          <w:rFonts w:eastAsia="Consolas" w:ascii="Consolas" w:cs="Consolas" w:hAnsi="Consolas"/>
          <w:sz w:val="22"/>
          <w:shd w:fill="EFF0F1"/>
        </w:rPr>
        <w:t>item_code</w:t>
      </w:r>
      <w:r>
        <w:rPr>
          <w:rFonts w:eastAsia="等线" w:ascii="Arial" w:cs="Arial" w:hAnsi="Arial"/>
          <w:sz w:val="22"/>
        </w:rPr>
        <w:t xml:space="preserve">, </w:t>
      </w:r>
      <w:r>
        <w:rPr>
          <w:rFonts w:eastAsia="Consolas" w:ascii="Consolas" w:cs="Consolas" w:hAnsi="Consolas"/>
          <w:strike w:val="true"/>
          <w:sz w:val="22"/>
          <w:shd w:fill="EFF0F1"/>
        </w:rPr>
        <w:t>customer_code</w:t>
      </w:r>
      <w:r>
        <w:rPr>
          <w:rFonts w:eastAsia="等线" w:ascii="Arial" w:cs="Arial" w:hAnsi="Arial"/>
          <w:strike w:val="true"/>
          <w:sz w:val="22"/>
        </w:rPr>
        <w:t xml:space="preserve">, </w:t>
      </w:r>
      <w:r>
        <w:rPr>
          <w:rFonts w:eastAsia="Consolas" w:ascii="Consolas" w:cs="Consolas" w:hAnsi="Consolas"/>
          <w:strike w:val="true"/>
          <w:sz w:val="22"/>
          <w:shd w:fill="EFF0F1"/>
        </w:rPr>
        <w:t>customer_name</w:t>
      </w:r>
      <w:r>
        <w:rPr>
          <w:rFonts w:eastAsia="等线" w:ascii="Arial" w:cs="Arial" w:hAnsi="Arial"/>
          <w:sz w:val="22"/>
        </w:rPr>
        <w:t xml:space="preserve"> as primary keys. Not internal ERPNext ID.</w:t>
      </w:r>
    </w:p>
    <w:p>
      <w:pPr>
        <w:numPr>
          <w:numId w:val="54"/>
        </w:numPr>
        <w:spacing w:before="120" w:after="120" w:line="288" w:lineRule="auto"/>
        <w:ind w:left="0"/>
        <w:jc w:val="left"/>
      </w:pPr>
      <w:r>
        <w:rPr>
          <w:rFonts w:eastAsia="等线" w:ascii="Arial" w:cs="Arial" w:hAnsi="Arial"/>
          <w:b w:val="true"/>
          <w:sz w:val="22"/>
        </w:rPr>
        <w:t>Delivery method  as SKU</w:t>
      </w:r>
      <w:r>
        <w:rPr>
          <w:rFonts w:eastAsia="等线" w:ascii="Arial" w:cs="Arial" w:hAnsi="Arial"/>
          <w:sz w:val="22"/>
        </w:rPr>
        <w:t xml:space="preserve"> — Fixguru treats transport charges as SKU items for e-invoice claiming. Resolution (Wei Yon): user instructs chatbot to search and add delivery item by name (e.g. "3PL Lalamove") as a regular line item. </w:t>
      </w:r>
      <w:r>
        <w:rPr>
          <w:rFonts w:eastAsia="等线" w:ascii="Arial" w:cs="Arial" w:hAnsi="Arial"/>
          <w:b w:val="true"/>
          <w:sz w:val="22"/>
        </w:rPr>
        <w:t>Chatbot must support searching delivery-type items in item list, not force-route to delivery method field.</w:t>
      </w:r>
      <w:r>
        <w:rPr>
          <w:rFonts w:eastAsia="等线" w:ascii="Arial" w:cs="Arial" w:hAnsi="Arial"/>
          <w:b w:val="true"/>
          <w:sz w:val="22"/>
        </w:rPr>
        <w:t xml:space="preserve"> As per 5/19/2026 discussion, backend to map automatically upon creation (delivery method -&gt; sku on items (add))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8" w:id="18"/>
      <w:r>
        <w:rPr>
          <w:rFonts w:eastAsia="等线" w:ascii="Arial" w:cs="Arial" w:hAnsi="Arial"/>
          <w:b w:val="true"/>
          <w:sz w:val="32"/>
        </w:rPr>
        <w:t>Change Requests Summary ⚠️</w:t>
      </w:r>
      <w:bookmarkEnd w:id="18"/>
    </w:p>
    <w:p>
      <w:pPr>
        <w:spacing w:before="120" w:after="120" w:line="288" w:lineRule="auto"/>
        <w:ind w:left="0"/>
        <w:jc w:val="left"/>
      </w:pPr>
      <w:r>
        <w:rPr>
          <w:rFonts w:eastAsia="等线" w:ascii="Arial" w:cs="Arial" w:hAnsi="Arial"/>
          <w:sz w:val="22"/>
        </w:rPr>
        <w:t>Items that deviate from original SOW or are new paid scope. All require retainer/SOW revision before dev starts.</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Next step:</w:t>
      </w:r>
      <w:r>
        <w:rPr>
          <w:rFonts w:eastAsia="等线" w:ascii="Arial" w:cs="Arial" w:hAnsi="Arial"/>
          <w:sz w:val="22"/>
        </w:rPr>
        <w:t xml:space="preserve"> Prepare formal CR doc, align with Fixguru, then revise retainer.</w:t>
      </w:r>
    </w:p>
    <w:p>
      <w:pPr>
        <w:spacing w:before="120" w:after="120" w:line="288" w:lineRule="auto"/>
        <w:ind w:left="0"/>
        <w:jc w:val="left"/>
      </w:pP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64628">
    <w:lvl>
      <w:numFmt w:val="bullet"/>
      <w:suff w:val="tab"/>
      <w:lvlText w:val="•"/>
      <w:rPr>
        <w:color w:val="3370ff"/>
      </w:rPr>
    </w:lvl>
  </w:abstractNum>
  <w:abstractNum w:abstractNumId="164629">
    <w:lvl>
      <w:numFmt w:val="bullet"/>
      <w:suff w:val="tab"/>
      <w:lvlText w:val="•"/>
      <w:rPr>
        <w:color w:val="3370ff"/>
      </w:rPr>
    </w:lvl>
  </w:abstractNum>
  <w:abstractNum w:abstractNumId="164630">
    <w:lvl>
      <w:numFmt w:val="bullet"/>
      <w:suff w:val="tab"/>
      <w:lvlText w:val="•"/>
      <w:rPr>
        <w:color w:val="3370ff"/>
      </w:rPr>
    </w:lvl>
  </w:abstractNum>
  <w:abstractNum w:abstractNumId="164631">
    <w:lvl>
      <w:numFmt w:val="bullet"/>
      <w:suff w:val="tab"/>
      <w:lvlText w:val="•"/>
      <w:rPr>
        <w:color w:val="3370ff"/>
      </w:rPr>
    </w:lvl>
  </w:abstractNum>
  <w:abstractNum w:abstractNumId="164632">
    <w:lvl>
      <w:numFmt w:val="bullet"/>
      <w:suff w:val="tab"/>
      <w:lvlText w:val="•"/>
      <w:rPr>
        <w:color w:val="3370ff"/>
      </w:rPr>
    </w:lvl>
  </w:abstractNum>
  <w:abstractNum w:abstractNumId="164633">
    <w:lvl>
      <w:numFmt w:val="bullet"/>
      <w:suff w:val="tab"/>
      <w:lvlText w:val="•"/>
      <w:rPr>
        <w:color w:val="3370ff"/>
      </w:rPr>
    </w:lvl>
  </w:abstractNum>
  <w:abstractNum w:abstractNumId="164634">
    <w:lvl>
      <w:numFmt w:val="bullet"/>
      <w:suff w:val="tab"/>
      <w:lvlText w:val="•"/>
      <w:rPr>
        <w:color w:val="3370ff"/>
      </w:rPr>
    </w:lvl>
  </w:abstractNum>
  <w:abstractNum w:abstractNumId="164635">
    <w:lvl>
      <w:numFmt w:val="bullet"/>
      <w:suff w:val="tab"/>
      <w:lvlText w:val="•"/>
      <w:rPr>
        <w:color w:val="3370ff"/>
      </w:rPr>
    </w:lvl>
  </w:abstractNum>
  <w:abstractNum w:abstractNumId="164636">
    <w:lvl>
      <w:numFmt w:val="bullet"/>
      <w:suff w:val="tab"/>
      <w:lvlText w:val="•"/>
      <w:rPr>
        <w:color w:val="3370ff"/>
      </w:rPr>
    </w:lvl>
  </w:abstractNum>
  <w:abstractNum w:abstractNumId="164637">
    <w:lvl>
      <w:numFmt w:val="bullet"/>
      <w:suff w:val="tab"/>
      <w:lvlText w:val="•"/>
      <w:rPr>
        <w:color w:val="3370ff"/>
      </w:rPr>
    </w:lvl>
  </w:abstractNum>
  <w:abstractNum w:abstractNumId="164638">
    <w:lvl>
      <w:numFmt w:val="bullet"/>
      <w:suff w:val="tab"/>
      <w:lvlText w:val="•"/>
      <w:rPr>
        <w:color w:val="3370ff"/>
      </w:rPr>
    </w:lvl>
  </w:abstractNum>
  <w:abstractNum w:abstractNumId="164639">
    <w:lvl>
      <w:numFmt w:val="bullet"/>
      <w:suff w:val="tab"/>
      <w:lvlText w:val="•"/>
      <w:rPr>
        <w:color w:val="3370ff"/>
      </w:rPr>
    </w:lvl>
  </w:abstractNum>
  <w:abstractNum w:abstractNumId="164640">
    <w:lvl>
      <w:numFmt w:val="bullet"/>
      <w:suff w:val="tab"/>
      <w:lvlText w:val="•"/>
      <w:rPr>
        <w:color w:val="3370ff"/>
      </w:rPr>
    </w:lvl>
  </w:abstractNum>
  <w:abstractNum w:abstractNumId="164641">
    <w:lvl>
      <w:numFmt w:val="bullet"/>
      <w:suff w:val="tab"/>
      <w:lvlText w:val="•"/>
      <w:rPr>
        <w:color w:val="3370ff"/>
      </w:rPr>
    </w:lvl>
  </w:abstractNum>
  <w:abstractNum w:abstractNumId="164642">
    <w:lvl>
      <w:numFmt w:val="bullet"/>
      <w:suff w:val="tab"/>
      <w:lvlText w:val="•"/>
      <w:rPr>
        <w:color w:val="3370ff"/>
      </w:rPr>
    </w:lvl>
  </w:abstractNum>
  <w:abstractNum w:abstractNumId="164643">
    <w:lvl>
      <w:numFmt w:val="bullet"/>
      <w:suff w:val="tab"/>
      <w:lvlText w:val="•"/>
      <w:rPr>
        <w:color w:val="3370ff"/>
      </w:rPr>
    </w:lvl>
  </w:abstractNum>
  <w:abstractNum w:abstractNumId="164644">
    <w:lvl>
      <w:numFmt w:val="bullet"/>
      <w:suff w:val="tab"/>
      <w:lvlText w:val="•"/>
      <w:rPr>
        <w:color w:val="3370ff"/>
      </w:rPr>
    </w:lvl>
  </w:abstractNum>
  <w:abstractNum w:abstractNumId="164645">
    <w:lvl>
      <w:numFmt w:val="bullet"/>
      <w:suff w:val="tab"/>
      <w:lvlText w:val="•"/>
      <w:rPr>
        <w:color w:val="3370ff"/>
      </w:rPr>
    </w:lvl>
  </w:abstractNum>
  <w:abstractNum w:abstractNumId="164646">
    <w:lvl>
      <w:numFmt w:val="bullet"/>
      <w:suff w:val="tab"/>
      <w:lvlText w:val="•"/>
      <w:rPr>
        <w:color w:val="3370ff"/>
      </w:rPr>
    </w:lvl>
  </w:abstractNum>
  <w:abstractNum w:abstractNumId="164647">
    <w:lvl>
      <w:numFmt w:val="bullet"/>
      <w:suff w:val="tab"/>
      <w:lvlText w:val="•"/>
      <w:rPr>
        <w:color w:val="3370ff"/>
      </w:rPr>
    </w:lvl>
  </w:abstractNum>
  <w:abstractNum w:abstractNumId="164648">
    <w:lvl>
      <w:numFmt w:val="bullet"/>
      <w:suff w:val="tab"/>
      <w:lvlText w:val="•"/>
      <w:rPr>
        <w:color w:val="3370ff"/>
      </w:rPr>
    </w:lvl>
  </w:abstractNum>
  <w:abstractNum w:abstractNumId="164649">
    <w:lvl>
      <w:numFmt w:val="bullet"/>
      <w:suff w:val="tab"/>
      <w:lvlText w:val="•"/>
      <w:rPr>
        <w:color w:val="3370ff"/>
      </w:rPr>
    </w:lvl>
  </w:abstractNum>
  <w:abstractNum w:abstractNumId="164650">
    <w:lvl>
      <w:numFmt w:val="bullet"/>
      <w:suff w:val="tab"/>
      <w:lvlText w:val="•"/>
      <w:rPr>
        <w:color w:val="3370ff"/>
      </w:rPr>
    </w:lvl>
  </w:abstractNum>
  <w:abstractNum w:abstractNumId="164651">
    <w:lvl>
      <w:numFmt w:val="bullet"/>
      <w:suff w:val="tab"/>
      <w:lvlText w:val="•"/>
      <w:rPr>
        <w:color w:val="3370ff"/>
      </w:rPr>
    </w:lvl>
  </w:abstractNum>
  <w:abstractNum w:abstractNumId="164652">
    <w:lvl>
      <w:numFmt w:val="bullet"/>
      <w:suff w:val="tab"/>
      <w:lvlText w:val="￮"/>
      <w:rPr>
        <w:color w:val="3370ff"/>
      </w:rPr>
    </w:lvl>
  </w:abstractNum>
  <w:abstractNum w:abstractNumId="164653">
    <w:lvl>
      <w:numFmt w:val="bullet"/>
      <w:suff w:val="tab"/>
      <w:lvlText w:val="•"/>
      <w:rPr>
        <w:color w:val="3370ff"/>
      </w:rPr>
    </w:lvl>
  </w:abstractNum>
  <w:abstractNum w:abstractNumId="164654">
    <w:lvl>
      <w:numFmt w:val="bullet"/>
      <w:suff w:val="tab"/>
      <w:lvlText w:val="•"/>
      <w:rPr>
        <w:color w:val="3370ff"/>
      </w:rPr>
    </w:lvl>
  </w:abstractNum>
  <w:abstractNum w:abstractNumId="164655">
    <w:lvl>
      <w:numFmt w:val="bullet"/>
      <w:suff w:val="tab"/>
      <w:lvlText w:val="•"/>
      <w:rPr>
        <w:color w:val="3370ff"/>
      </w:rPr>
    </w:lvl>
  </w:abstractNum>
  <w:abstractNum w:abstractNumId="164656">
    <w:lvl>
      <w:numFmt w:val="bullet"/>
      <w:suff w:val="tab"/>
      <w:lvlText w:val="•"/>
      <w:rPr>
        <w:color w:val="3370ff"/>
      </w:rPr>
    </w:lvl>
  </w:abstractNum>
  <w:abstractNum w:abstractNumId="164657">
    <w:lvl>
      <w:numFmt w:val="bullet"/>
      <w:suff w:val="tab"/>
      <w:lvlText w:val="•"/>
      <w:rPr>
        <w:color w:val="3370ff"/>
      </w:rPr>
    </w:lvl>
  </w:abstractNum>
  <w:abstractNum w:abstractNumId="164658">
    <w:lvl>
      <w:numFmt w:val="bullet"/>
      <w:suff w:val="tab"/>
      <w:lvlText w:val="•"/>
      <w:rPr>
        <w:color w:val="3370ff"/>
      </w:rPr>
    </w:lvl>
  </w:abstractNum>
  <w:abstractNum w:abstractNumId="164659">
    <w:lvl>
      <w:numFmt w:val="bullet"/>
      <w:suff w:val="tab"/>
      <w:lvlText w:val="•"/>
      <w:rPr>
        <w:color w:val="3370ff"/>
      </w:rPr>
    </w:lvl>
  </w:abstractNum>
  <w:abstractNum w:abstractNumId="164660">
    <w:lvl>
      <w:numFmt w:val="bullet"/>
      <w:suff w:val="tab"/>
      <w:lvlText w:val="•"/>
      <w:rPr>
        <w:color w:val="3370ff"/>
      </w:rPr>
    </w:lvl>
  </w:abstractNum>
  <w:abstractNum w:abstractNumId="164661">
    <w:lvl>
      <w:numFmt w:val="bullet"/>
      <w:suff w:val="tab"/>
      <w:lvlText w:val="•"/>
      <w:rPr>
        <w:color w:val="3370ff"/>
      </w:rPr>
    </w:lvl>
  </w:abstractNum>
  <w:abstractNum w:abstractNumId="164662">
    <w:lvl>
      <w:numFmt w:val="bullet"/>
      <w:suff w:val="tab"/>
      <w:lvlText w:val="￮"/>
      <w:rPr>
        <w:color w:val="3370ff"/>
      </w:rPr>
    </w:lvl>
  </w:abstractNum>
  <w:abstractNum w:abstractNumId="164663">
    <w:lvl>
      <w:numFmt w:val="bullet"/>
      <w:suff w:val="tab"/>
      <w:lvlText w:val="•"/>
      <w:rPr>
        <w:color w:val="3370ff"/>
      </w:rPr>
    </w:lvl>
  </w:abstractNum>
  <w:abstractNum w:abstractNumId="164664">
    <w:lvl>
      <w:numFmt w:val="bullet"/>
      <w:suff w:val="tab"/>
      <w:lvlText w:val="•"/>
      <w:rPr>
        <w:color w:val="3370ff"/>
      </w:rPr>
    </w:lvl>
  </w:abstractNum>
  <w:abstractNum w:abstractNumId="164665">
    <w:lvl>
      <w:numFmt w:val="bullet"/>
      <w:suff w:val="tab"/>
      <w:lvlText w:val="•"/>
      <w:rPr>
        <w:color w:val="3370ff"/>
      </w:rPr>
    </w:lvl>
  </w:abstractNum>
  <w:abstractNum w:abstractNumId="164666">
    <w:lvl>
      <w:numFmt w:val="bullet"/>
      <w:suff w:val="tab"/>
      <w:lvlText w:val="•"/>
      <w:rPr>
        <w:color w:val="3370ff"/>
      </w:rPr>
    </w:lvl>
  </w:abstractNum>
  <w:abstractNum w:abstractNumId="164667">
    <w:lvl>
      <w:numFmt w:val="bullet"/>
      <w:suff w:val="tab"/>
      <w:lvlText w:val="•"/>
      <w:rPr>
        <w:color w:val="3370ff"/>
      </w:rPr>
    </w:lvl>
  </w:abstractNum>
  <w:abstractNum w:abstractNumId="164668">
    <w:lvl>
      <w:numFmt w:val="bullet"/>
      <w:suff w:val="tab"/>
      <w:lvlText w:val="•"/>
      <w:rPr>
        <w:color w:val="3370ff"/>
      </w:rPr>
    </w:lvl>
  </w:abstractNum>
  <w:abstractNum w:abstractNumId="164669">
    <w:lvl>
      <w:numFmt w:val="bullet"/>
      <w:suff w:val="tab"/>
      <w:lvlText w:val="•"/>
      <w:rPr>
        <w:color w:val="3370ff"/>
      </w:rPr>
    </w:lvl>
  </w:abstractNum>
  <w:abstractNum w:abstractNumId="164670">
    <w:lvl>
      <w:numFmt w:val="bullet"/>
      <w:suff w:val="tab"/>
      <w:lvlText w:val="•"/>
      <w:rPr>
        <w:color w:val="3370ff"/>
      </w:rPr>
    </w:lvl>
  </w:abstractNum>
  <w:abstractNum w:abstractNumId="164671">
    <w:lvl>
      <w:numFmt w:val="bullet"/>
      <w:suff w:val="tab"/>
      <w:lvlText w:val="•"/>
      <w:rPr>
        <w:color w:val="3370ff"/>
      </w:rPr>
    </w:lvl>
  </w:abstractNum>
  <w:abstractNum w:abstractNumId="164672">
    <w:lvl>
      <w:numFmt w:val="bullet"/>
      <w:suff w:val="tab"/>
      <w:lvlText w:val="•"/>
      <w:rPr>
        <w:color w:val="3370ff"/>
      </w:rPr>
    </w:lvl>
  </w:abstractNum>
  <w:abstractNum w:abstractNumId="164673">
    <w:lvl>
      <w:numFmt w:val="bullet"/>
      <w:suff w:val="tab"/>
      <w:lvlText w:val="•"/>
      <w:rPr>
        <w:color w:val="3370ff"/>
      </w:rPr>
    </w:lvl>
  </w:abstractNum>
  <w:abstractNum w:abstractNumId="164674">
    <w:lvl>
      <w:numFmt w:val="bullet"/>
      <w:suff w:val="tab"/>
      <w:lvlText w:val="•"/>
      <w:rPr>
        <w:color w:val="3370ff"/>
      </w:rPr>
    </w:lvl>
  </w:abstractNum>
  <w:abstractNum w:abstractNumId="164675">
    <w:lvl>
      <w:numFmt w:val="bullet"/>
      <w:suff w:val="tab"/>
      <w:lvlText w:val="•"/>
      <w:rPr>
        <w:color w:val="3370ff"/>
      </w:rPr>
    </w:lvl>
  </w:abstractNum>
  <w:abstractNum w:abstractNumId="164676">
    <w:lvl>
      <w:numFmt w:val="bullet"/>
      <w:suff w:val="tab"/>
      <w:lvlText w:val="•"/>
      <w:rPr>
        <w:color w:val="3370ff"/>
      </w:rPr>
    </w:lvl>
  </w:abstractNum>
  <w:abstractNum w:abstractNumId="164677">
    <w:lvl>
      <w:numFmt w:val="bullet"/>
      <w:suff w:val="tab"/>
      <w:lvlText w:val="•"/>
      <w:rPr>
        <w:color w:val="3370ff"/>
      </w:rPr>
    </w:lvl>
  </w:abstractNum>
  <w:abstractNum w:abstractNumId="164678">
    <w:lvl>
      <w:numFmt w:val="bullet"/>
      <w:suff w:val="tab"/>
      <w:lvlText w:val="•"/>
      <w:rPr>
        <w:color w:val="3370ff"/>
      </w:rPr>
    </w:lvl>
  </w:abstractNum>
  <w:abstractNum w:abstractNumId="164679">
    <w:lvl>
      <w:numFmt w:val="bullet"/>
      <w:suff w:val="tab"/>
      <w:lvlText w:val="•"/>
      <w:rPr>
        <w:color w:val="3370ff"/>
      </w:rPr>
    </w:lvl>
  </w:abstractNum>
  <w:abstractNum w:abstractNumId="164680">
    <w:lvl>
      <w:numFmt w:val="bullet"/>
      <w:suff w:val="tab"/>
      <w:lvlText w:val="•"/>
      <w:rPr>
        <w:color w:val="3370ff"/>
      </w:rPr>
    </w:lvl>
  </w:abstractNum>
  <w:abstractNum w:abstractNumId="164681">
    <w:lvl>
      <w:numFmt w:val="bullet"/>
      <w:suff w:val="tab"/>
      <w:lvlText w:val="•"/>
      <w:rPr>
        <w:color w:val="3370ff"/>
      </w:rPr>
    </w:lvl>
  </w:abstractNum>
  <w:num w:numId="1">
    <w:abstractNumId w:val="164628"/>
  </w:num>
  <w:num w:numId="2">
    <w:abstractNumId w:val="164629"/>
  </w:num>
  <w:num w:numId="3">
    <w:abstractNumId w:val="164630"/>
  </w:num>
  <w:num w:numId="4">
    <w:abstractNumId w:val="164631"/>
  </w:num>
  <w:num w:numId="5">
    <w:abstractNumId w:val="164632"/>
  </w:num>
  <w:num w:numId="6">
    <w:abstractNumId w:val="164633"/>
  </w:num>
  <w:num w:numId="7">
    <w:abstractNumId w:val="164634"/>
  </w:num>
  <w:num w:numId="8">
    <w:abstractNumId w:val="164635"/>
  </w:num>
  <w:num w:numId="9">
    <w:abstractNumId w:val="164636"/>
  </w:num>
  <w:num w:numId="10">
    <w:abstractNumId w:val="164637"/>
  </w:num>
  <w:num w:numId="11">
    <w:abstractNumId w:val="164638"/>
  </w:num>
  <w:num w:numId="12">
    <w:abstractNumId w:val="164639"/>
  </w:num>
  <w:num w:numId="13">
    <w:abstractNumId w:val="164640"/>
  </w:num>
  <w:num w:numId="14">
    <w:abstractNumId w:val="164641"/>
  </w:num>
  <w:num w:numId="15">
    <w:abstractNumId w:val="164642"/>
  </w:num>
  <w:num w:numId="16">
    <w:abstractNumId w:val="164643"/>
  </w:num>
  <w:num w:numId="17">
    <w:abstractNumId w:val="164644"/>
  </w:num>
  <w:num w:numId="18">
    <w:abstractNumId w:val="164645"/>
  </w:num>
  <w:num w:numId="19">
    <w:abstractNumId w:val="164646"/>
  </w:num>
  <w:num w:numId="20">
    <w:abstractNumId w:val="164647"/>
  </w:num>
  <w:num w:numId="21">
    <w:abstractNumId w:val="164648"/>
  </w:num>
  <w:num w:numId="22">
    <w:abstractNumId w:val="164649"/>
  </w:num>
  <w:num w:numId="23">
    <w:abstractNumId w:val="164650"/>
  </w:num>
  <w:num w:numId="24">
    <w:abstractNumId w:val="164651"/>
  </w:num>
  <w:num w:numId="25">
    <w:abstractNumId w:val="164652"/>
  </w:num>
  <w:num w:numId="26">
    <w:abstractNumId w:val="164653"/>
  </w:num>
  <w:num w:numId="27">
    <w:abstractNumId w:val="164654"/>
  </w:num>
  <w:num w:numId="28">
    <w:abstractNumId w:val="164655"/>
  </w:num>
  <w:num w:numId="29">
    <w:abstractNumId w:val="164656"/>
  </w:num>
  <w:num w:numId="30">
    <w:abstractNumId w:val="164657"/>
  </w:num>
  <w:num w:numId="31">
    <w:abstractNumId w:val="164658"/>
  </w:num>
  <w:num w:numId="32">
    <w:abstractNumId w:val="164659"/>
  </w:num>
  <w:num w:numId="33">
    <w:abstractNumId w:val="164660"/>
  </w:num>
  <w:num w:numId="34">
    <w:abstractNumId w:val="164661"/>
  </w:num>
  <w:num w:numId="35">
    <w:abstractNumId w:val="164662"/>
  </w:num>
  <w:num w:numId="36">
    <w:abstractNumId w:val="164663"/>
  </w:num>
  <w:num w:numId="37">
    <w:abstractNumId w:val="164664"/>
  </w:num>
  <w:num w:numId="38">
    <w:abstractNumId w:val="164665"/>
  </w:num>
  <w:num w:numId="39">
    <w:abstractNumId w:val="164666"/>
  </w:num>
  <w:num w:numId="40">
    <w:abstractNumId w:val="164667"/>
  </w:num>
  <w:num w:numId="41">
    <w:abstractNumId w:val="164668"/>
  </w:num>
  <w:num w:numId="42">
    <w:abstractNumId w:val="164669"/>
  </w:num>
  <w:num w:numId="43">
    <w:abstractNumId w:val="164670"/>
  </w:num>
  <w:num w:numId="44">
    <w:abstractNumId w:val="164671"/>
  </w:num>
  <w:num w:numId="45">
    <w:abstractNumId w:val="164672"/>
  </w:num>
  <w:num w:numId="46">
    <w:abstractNumId w:val="164673"/>
  </w:num>
  <w:num w:numId="47">
    <w:abstractNumId w:val="164674"/>
  </w:num>
  <w:num w:numId="48">
    <w:abstractNumId w:val="164675"/>
  </w:num>
  <w:num w:numId="49">
    <w:abstractNumId w:val="164676"/>
  </w:num>
  <w:num w:numId="50">
    <w:abstractNumId w:val="164677"/>
  </w:num>
  <w:num w:numId="51">
    <w:abstractNumId w:val="164678"/>
  </w:num>
  <w:num w:numId="52">
    <w:abstractNumId w:val="164679"/>
  </w:num>
  <w:num w:numId="53">
    <w:abstractNumId w:val="164680"/>
  </w:num>
  <w:num w:numId="54">
    <w:abstractNumId w:val="16468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2026-08-06T17:26:52Z</dcterms:created>
  <dc:creator>Apache POI</dc:creator>
</cp:coreProperties>
</file>