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Fixguru CR Scoping</w:t>
      </w:r>
    </w:p>
    <w:p>
      <w:pPr>
        <w:pStyle w:val="1"/>
        <w:spacing w:before="380" w:after="140" w:line="288" w:lineRule="auto"/>
        <w:ind w:left="0"/>
        <w:jc w:val="left"/>
        <w:outlineLvl w:val="0"/>
      </w:pPr>
      <w:bookmarkStart w:name="heading_0" w:id="0"/>
      <w:r>
        <w:rPr>
          <w:rFonts w:eastAsia="等线" w:ascii="Arial" w:cs="Arial" w:hAnsi="Arial"/>
          <w:b w:val="true"/>
          <w:sz w:val="36"/>
        </w:rPr>
        <w:t>CR Scoping — Fixguru (IAM Worldwide Sdn Bhd)</w:t>
      </w:r>
      <w:bookmarkEnd w:id="0"/>
    </w:p>
    <w:p>
      <w:pPr>
        <w:spacing w:before="120" w:after="120" w:line="288" w:lineRule="auto"/>
        <w:ind w:left="0"/>
        <w:jc w:val="left"/>
      </w:pPr>
      <w:r>
        <w:rPr>
          <w:rFonts w:eastAsia="等线" w:ascii="Arial" w:cs="Arial" w:hAnsi="Arial"/>
          <w:sz w:val="22"/>
        </w:rPr>
        <w:t>Change requests raised by Fixguru that fall outside the signed SOW scope. Each CR is assessed against the baseline SOW and scoped for commercial discussion.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Two-Way AutoCount Sync (Historical Records)</w:t>
      </w:r>
      <w:bookmarkEnd w:id="1"/>
    </w:p>
    <w:p>
      <w:pPr>
        <w:spacing w:before="120" w:after="120" w:line="288" w:lineRule="auto"/>
        <w:ind w:left="0"/>
        <w:jc w:val="left"/>
      </w:pPr>
      <w:r>
        <w:rPr>
          <w:rFonts w:eastAsia="等线" w:ascii="Arial" w:cs="Arial" w:hAnsi="Arial"/>
          <w:sz w:val="22"/>
        </w:rPr>
        <w:t>Pre-cutoff AutoCount documents to be brought into MAIA as historical records. SOW covers EOD sync from go-live onward only. This is a one-off migration executed at production launch — does not block UAT.</w:t>
      </w:r>
    </w:p>
    <w:p>
      <w:pPr>
        <w:pStyle w:val="3"/>
        <w:spacing w:before="300" w:after="120" w:line="288" w:lineRule="auto"/>
        <w:ind w:left="0"/>
        <w:jc w:val="left"/>
        <w:outlineLvl w:val="2"/>
      </w:pPr>
      <w:bookmarkStart w:name="heading_2" w:id="2"/>
      <w:r>
        <w:rPr>
          <w:rFonts w:eastAsia="等线" w:ascii="Arial" w:cs="Arial" w:hAnsi="Arial"/>
          <w:b w:val="true"/>
          <w:sz w:val="30"/>
        </w:rPr>
        <w:t>1.1 Historical Document Migration</w:t>
      </w:r>
      <w:bookmarkEnd w:id="2"/>
    </w:p>
    <w:p>
      <w:pPr>
        <w:numPr>
          <w:numId w:val="1"/>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AutoCount integration layer + MAIA data store</w:t>
      </w:r>
    </w:p>
    <w:p>
      <w:pPr>
        <w:numPr>
          <w:numId w:val="2"/>
        </w:numPr>
        <w:spacing w:before="120" w:after="120" w:line="288" w:lineRule="auto"/>
        <w:ind w:left="0"/>
        <w:jc w:val="left"/>
      </w:pPr>
      <w:r>
        <w:rPr>
          <w:rFonts w:eastAsia="等线" w:ascii="Arial" w:cs="Arial" w:hAnsi="Arial"/>
          <w:b w:val="true"/>
          <w:sz w:val="22"/>
        </w:rPr>
        <w:t>Features:</w:t>
      </w:r>
    </w:p>
    <w:p>
      <w:pPr>
        <w:numPr>
          <w:numId w:val="3"/>
        </w:numPr>
        <w:spacing w:before="120" w:after="120" w:line="288" w:lineRule="auto"/>
        <w:ind w:left="453"/>
        <w:jc w:val="left"/>
      </w:pPr>
      <w:r>
        <w:rPr>
          <w:rFonts w:eastAsia="等线" w:ascii="Arial" w:cs="Arial" w:hAnsi="Arial"/>
          <w:b w:val="true"/>
          <w:sz w:val="22"/>
        </w:rPr>
        <w:t>Historical Document Import:</w:t>
      </w:r>
      <w:r>
        <w:rPr>
          <w:rFonts w:eastAsia="等线" w:ascii="Arial" w:cs="Arial" w:hAnsi="Arial"/>
          <w:sz w:val="22"/>
        </w:rPr>
        <w:t xml:space="preserve"> Ingest all pre-cutoff AutoCount documents into MAIA as read-only historical records. Document types to be confirmed with Fixguru (Invoices, Credit Notes, Receipts).</w:t>
      </w:r>
    </w:p>
    <w:p>
      <w:pPr>
        <w:numPr>
          <w:numId w:val="4"/>
        </w:numPr>
        <w:spacing w:before="120" w:after="120" w:line="288" w:lineRule="auto"/>
        <w:ind w:left="453"/>
        <w:jc w:val="left"/>
      </w:pPr>
      <w:r>
        <w:rPr>
          <w:rFonts w:eastAsia="等线" w:ascii="Arial" w:cs="Arial" w:hAnsi="Arial"/>
          <w:b w:val="true"/>
          <w:sz w:val="22"/>
        </w:rPr>
        <w:t>Cut-Off Date Mapping:</w:t>
      </w:r>
      <w:r>
        <w:rPr>
          <w:rFonts w:eastAsia="等线" w:ascii="Arial" w:cs="Arial" w:hAnsi="Arial"/>
          <w:sz w:val="22"/>
        </w:rPr>
        <w:t xml:space="preserve"> Records imported with their original AutoCount dates and document numbers to preserve chronological order and document reference integrity.</w:t>
      </w:r>
    </w:p>
    <w:p>
      <w:pPr>
        <w:numPr>
          <w:numId w:val="5"/>
        </w:numPr>
        <w:spacing w:before="120" w:after="120" w:line="288" w:lineRule="auto"/>
        <w:ind w:left="453"/>
        <w:jc w:val="left"/>
      </w:pPr>
      <w:r>
        <w:rPr>
          <w:rFonts w:eastAsia="等线" w:ascii="Arial" w:cs="Arial" w:hAnsi="Arial"/>
          <w:b w:val="true"/>
          <w:sz w:val="22"/>
        </w:rPr>
        <w:t>One-Off Migration Run:</w:t>
      </w:r>
      <w:r>
        <w:rPr>
          <w:rFonts w:eastAsia="等线" w:ascii="Arial" w:cs="Arial" w:hAnsi="Arial"/>
          <w:sz w:val="22"/>
        </w:rPr>
        <w:t xml:space="preserve"> Migration executed once at production go-live. After migration, all new documents flow through the standard EOD sync covered in the SOW.</w:t>
      </w:r>
    </w:p>
    <w:p>
      <w:pPr>
        <w:numPr>
          <w:numId w:val="6"/>
        </w:numPr>
        <w:spacing w:before="120" w:after="120" w:line="288" w:lineRule="auto"/>
        <w:ind w:left="453"/>
        <w:jc w:val="left"/>
      </w:pPr>
      <w:r>
        <w:rPr>
          <w:rFonts w:eastAsia="等线" w:ascii="Arial" w:cs="Arial" w:hAnsi="Arial"/>
          <w:b w:val="true"/>
          <w:sz w:val="22"/>
        </w:rPr>
        <w:t>Post-Migration Sanitization:</w:t>
      </w:r>
      <w:r>
        <w:rPr>
          <w:rFonts w:eastAsia="等线" w:ascii="Arial" w:cs="Arial" w:hAnsi="Arial"/>
          <w:sz w:val="22"/>
        </w:rPr>
        <w:t xml:space="preserve"> Mindhive performs a sanitization check after import — row counts and duplicate verification — to confirm data integrity before handover to Fixguru.</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Calculator Policy Customisation &amp; Unit Toggle</w:t>
      </w:r>
      <w:bookmarkEnd w:id="3"/>
    </w:p>
    <w:p>
      <w:pPr>
        <w:spacing w:before="120" w:after="120" w:line="288" w:lineRule="auto"/>
        <w:ind w:left="0"/>
        <w:jc w:val="left"/>
      </w:pPr>
      <w:hyperlink r:id="rId5">
        <w:r>
          <w:rPr>
            <w:rFonts w:eastAsia="等线" w:ascii="Arial" w:cs="Arial" w:hAnsi="Arial"/>
            <w:color w:val="3370ff"/>
            <w:sz w:val="22"/>
          </w:rPr>
          <w:t>ALL 7 custom calculator</w:t>
        </w:r>
      </w:hyperlink>
    </w:p>
    <w:p>
      <w:pPr>
        <w:spacing w:before="120" w:after="120" w:line="288" w:lineRule="auto"/>
        <w:ind w:left="0"/>
        <w:jc w:val="left"/>
      </w:pPr>
      <w:r>
        <w:rPr>
          <w:rFonts w:eastAsia="等线" w:ascii="Arial" w:cs="Arial" w:hAnsi="Arial"/>
          <w:sz w:val="22"/>
        </w:rPr>
        <w:t>Updated transformation ratios and unit toggle (cm ↔ inches) required on the Custom Box Quotation Module. SOW covered original IAM-provided logic only — updated ratios, new builds, and unit toggling are new scope.</w:t>
      </w:r>
    </w:p>
    <w:p>
      <w:pPr>
        <w:pStyle w:val="3"/>
        <w:spacing w:before="300" w:after="120" w:line="288" w:lineRule="auto"/>
        <w:ind w:left="0"/>
        <w:jc w:val="left"/>
        <w:outlineLvl w:val="2"/>
      </w:pPr>
      <w:bookmarkStart w:name="heading_4" w:id="4"/>
      <w:r>
        <w:rPr>
          <w:rFonts w:eastAsia="等线" w:ascii="Arial" w:cs="Arial" w:hAnsi="Arial"/>
          <w:b w:val="true"/>
          <w:sz w:val="30"/>
        </w:rPr>
        <w:t>2.1 Calculator Revision</w:t>
      </w:r>
      <w:bookmarkEnd w:id="4"/>
    </w:p>
    <w:p>
      <w:pPr>
        <w:numPr>
          <w:numId w:val="7"/>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MAIA Web Workspace — Custom Box Quotation Module</w:t>
      </w:r>
    </w:p>
    <w:p>
      <w:pPr>
        <w:numPr>
          <w:numId w:val="8"/>
        </w:numPr>
        <w:spacing w:before="120" w:after="120" w:line="288" w:lineRule="auto"/>
        <w:ind w:left="0"/>
        <w:jc w:val="left"/>
      </w:pPr>
      <w:r>
        <w:rPr>
          <w:rFonts w:eastAsia="等线" w:ascii="Arial" w:cs="Arial" w:hAnsi="Arial"/>
          <w:b w:val="true"/>
          <w:sz w:val="22"/>
        </w:rPr>
        <w:t>Features:</w:t>
      </w:r>
    </w:p>
    <w:p>
      <w:pPr>
        <w:numPr>
          <w:numId w:val="9"/>
        </w:numPr>
        <w:spacing w:before="120" w:after="120" w:line="288" w:lineRule="auto"/>
        <w:ind w:left="453"/>
        <w:jc w:val="left"/>
      </w:pPr>
      <w:r>
        <w:rPr>
          <w:rFonts w:eastAsia="等线" w:ascii="Arial" w:cs="Arial" w:hAnsi="Arial"/>
          <w:b w:val="true"/>
          <w:sz w:val="22"/>
        </w:rPr>
        <w:t>Existing Calculator Update:</w:t>
      </w:r>
      <w:r>
        <w:rPr>
          <w:rFonts w:eastAsia="等线" w:ascii="Arial" w:cs="Arial" w:hAnsi="Arial"/>
          <w:sz w:val="22"/>
        </w:rPr>
        <w:t xml:space="preserve"> Revise 2 outdated calculators with Fixguru's updated transformation ratio logic per the updated Excel models provided by Fixguru.</w:t>
      </w:r>
    </w:p>
    <w:p>
      <w:pPr>
        <w:pStyle w:val="3"/>
        <w:spacing w:before="300" w:after="120" w:line="288" w:lineRule="auto"/>
        <w:ind w:left="0"/>
        <w:jc w:val="left"/>
        <w:outlineLvl w:val="2"/>
      </w:pPr>
      <w:bookmarkStart w:name="heading_5" w:id="5"/>
      <w:r>
        <w:rPr>
          <w:rFonts w:eastAsia="等线" w:ascii="Arial" w:cs="Arial" w:hAnsi="Arial"/>
          <w:b w:val="true"/>
          <w:sz w:val="30"/>
        </w:rPr>
        <w:t>2.2 New Calculator Build</w:t>
      </w:r>
      <w:bookmarkEnd w:id="5"/>
    </w:p>
    <w:p>
      <w:pPr>
        <w:numPr>
          <w:numId w:val="10"/>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MAIA Web Workspace — Custom Box Quotation Module</w:t>
      </w:r>
    </w:p>
    <w:p>
      <w:pPr>
        <w:numPr>
          <w:numId w:val="11"/>
        </w:numPr>
        <w:spacing w:before="120" w:after="120" w:line="288" w:lineRule="auto"/>
        <w:ind w:left="0"/>
        <w:jc w:val="left"/>
      </w:pPr>
      <w:r>
        <w:rPr>
          <w:rFonts w:eastAsia="等线" w:ascii="Arial" w:cs="Arial" w:hAnsi="Arial"/>
          <w:b w:val="true"/>
          <w:sz w:val="22"/>
        </w:rPr>
        <w:t>Features:</w:t>
      </w:r>
    </w:p>
    <w:p>
      <w:pPr>
        <w:numPr>
          <w:numId w:val="12"/>
        </w:numPr>
        <w:spacing w:before="120" w:after="120" w:line="288" w:lineRule="auto"/>
        <w:ind w:left="453"/>
        <w:jc w:val="left"/>
      </w:pPr>
      <w:r>
        <w:rPr>
          <w:rFonts w:eastAsia="等线" w:ascii="Arial" w:cs="Arial" w:hAnsi="Arial"/>
          <w:b w:val="true"/>
          <w:sz w:val="22"/>
        </w:rPr>
        <w:t>New Calculator Build:</w:t>
      </w:r>
      <w:r>
        <w:rPr>
          <w:rFonts w:eastAsia="等线" w:ascii="Arial" w:cs="Arial" w:hAnsi="Arial"/>
          <w:sz w:val="22"/>
        </w:rPr>
        <w:t xml:space="preserve"> Build 5 new calculators with new logic and UI configuration per Fixguru's updated Excel models.</w:t>
      </w:r>
    </w:p>
    <w:p>
      <w:pPr>
        <w:pStyle w:val="3"/>
        <w:spacing w:before="300" w:after="120" w:line="288" w:lineRule="auto"/>
        <w:ind w:left="0"/>
        <w:jc w:val="left"/>
        <w:outlineLvl w:val="2"/>
      </w:pPr>
      <w:bookmarkStart w:name="heading_6" w:id="6"/>
      <w:r>
        <w:rPr>
          <w:rFonts w:eastAsia="等线" w:ascii="Arial" w:cs="Arial" w:hAnsi="Arial"/>
          <w:b w:val="true"/>
          <w:sz w:val="30"/>
        </w:rPr>
        <w:t>2.3 Unit Toggle (cm ↔ inches)</w:t>
      </w:r>
      <w:bookmarkEnd w:id="6"/>
    </w:p>
    <w:p>
      <w:pPr>
        <w:numPr>
          <w:numId w:val="13"/>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MAIA Web Workspace — Custom Box Quotation Module</w:t>
      </w:r>
    </w:p>
    <w:p>
      <w:pPr>
        <w:numPr>
          <w:numId w:val="14"/>
        </w:numPr>
        <w:spacing w:before="120" w:after="120" w:line="288" w:lineRule="auto"/>
        <w:ind w:left="0"/>
        <w:jc w:val="left"/>
      </w:pPr>
      <w:r>
        <w:rPr>
          <w:rFonts w:eastAsia="等线" w:ascii="Arial" w:cs="Arial" w:hAnsi="Arial"/>
          <w:b w:val="true"/>
          <w:sz w:val="22"/>
        </w:rPr>
        <w:t>Features:</w:t>
      </w:r>
    </w:p>
    <w:p>
      <w:pPr>
        <w:numPr>
          <w:numId w:val="15"/>
        </w:numPr>
        <w:spacing w:before="120" w:after="120" w:line="288" w:lineRule="auto"/>
        <w:ind w:left="453"/>
        <w:jc w:val="left"/>
      </w:pPr>
      <w:r>
        <w:rPr>
          <w:rFonts w:eastAsia="等线" w:ascii="Arial" w:cs="Arial" w:hAnsi="Arial"/>
          <w:b w:val="true"/>
          <w:sz w:val="22"/>
        </w:rPr>
        <w:t>Unit System Toggle:</w:t>
      </w:r>
      <w:r>
        <w:rPr>
          <w:rFonts w:eastAsia="等线" w:ascii="Arial" w:cs="Arial" w:hAnsi="Arial"/>
          <w:sz w:val="22"/>
        </w:rPr>
        <w:t xml:space="preserve"> Add a toggle to the calculator interface allowing users to switch input units between centimetres and inches across all calculators.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 </w:t>
      </w:r>
      <w:r>
        <w:rPr>
          <w:rFonts w:eastAsia="等线" w:ascii="Arial" w:cs="Arial" w:hAnsi="Arial"/>
          <w:b w:val="true"/>
          <w:sz w:val="32"/>
        </w:rPr>
        <w:t>Raw-to-Finished Conversion with Stock Visibility and Yield Variance</w:t>
      </w:r>
      <w:bookmarkEnd w:id="7"/>
    </w:p>
    <w:p>
      <w:pPr>
        <w:spacing w:before="120" w:after="120" w:line="288" w:lineRule="auto"/>
        <w:ind w:left="0"/>
        <w:jc w:val="left"/>
      </w:pPr>
      <w:r>
        <w:rPr>
          <w:rFonts w:eastAsia="等线" w:ascii="Arial" w:cs="Arial" w:hAnsi="Arial"/>
          <w:sz w:val="22"/>
        </w:rPr>
        <w:t>Raw materials (e.g. sheetboard) are converted into finished custom box units via Stock Assembly. Both stock types must be tracked independently. Sales team uses remaining raw material stock to calculate producible quantity and decide order commitment. Actual yield may differ from BOM output (e.g. 3900 vs 4000 expected) — shortfall must be visible to decide whether to adjust the Delivery Order, give FOC units, or re-order. SOW covers document and stock item sync only; BOM data, yield tracking, and dual-stock visibility are new scope.</w:t>
      </w:r>
    </w:p>
    <w:p>
      <w:pPr>
        <w:pStyle w:val="3"/>
        <w:spacing w:before="300" w:after="120" w:line="288" w:lineRule="auto"/>
        <w:ind w:left="0"/>
        <w:jc w:val="left"/>
        <w:outlineLvl w:val="2"/>
      </w:pPr>
      <w:bookmarkStart w:name="heading_8" w:id="8"/>
      <w:r>
        <w:rPr>
          <w:rFonts w:eastAsia="等线" w:ascii="Arial" w:cs="Arial" w:hAnsi="Arial"/>
          <w:b w:val="true"/>
          <w:sz w:val="30"/>
        </w:rPr>
        <w:t>3.1 AutoCount BOM and Stock Data Sync Extension</w:t>
      </w:r>
      <w:bookmarkEnd w:id="8"/>
    </w:p>
    <w:p>
      <w:pPr>
        <w:numPr>
          <w:numId w:val="16"/>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AutoCount integration layer (extending the existing sync)</w:t>
      </w:r>
    </w:p>
    <w:p>
      <w:pPr>
        <w:numPr>
          <w:numId w:val="17"/>
        </w:numPr>
        <w:spacing w:before="120" w:after="120" w:line="288" w:lineRule="auto"/>
        <w:ind w:left="0"/>
        <w:jc w:val="left"/>
      </w:pPr>
      <w:r>
        <w:rPr>
          <w:rFonts w:eastAsia="等线" w:ascii="Arial" w:cs="Arial" w:hAnsi="Arial"/>
          <w:b w:val="true"/>
          <w:sz w:val="22"/>
        </w:rPr>
        <w:t>Features:</w:t>
      </w:r>
    </w:p>
    <w:p>
      <w:pPr>
        <w:numPr>
          <w:numId w:val="18"/>
        </w:numPr>
        <w:spacing w:before="120" w:after="120" w:line="288" w:lineRule="auto"/>
        <w:ind w:left="453"/>
        <w:jc w:val="left"/>
      </w:pPr>
      <w:r>
        <w:rPr>
          <w:rFonts w:eastAsia="等线" w:ascii="Arial" w:cs="Arial" w:hAnsi="Arial"/>
          <w:b w:val="true"/>
          <w:sz w:val="22"/>
        </w:rPr>
        <w:t>Finished Good Item Sync:</w:t>
      </w:r>
      <w:r>
        <w:rPr>
          <w:rFonts w:eastAsia="等线" w:ascii="Arial" w:cs="Arial" w:hAnsi="Arial"/>
          <w:sz w:val="22"/>
        </w:rPr>
        <w:t xml:space="preserve"> Pull the list of finished good items with an active BOM record from AutoCount.</w:t>
      </w:r>
    </w:p>
    <w:p>
      <w:pPr>
        <w:numPr>
          <w:numId w:val="19"/>
        </w:numPr>
        <w:spacing w:before="120" w:after="120" w:line="288" w:lineRule="auto"/>
        <w:ind w:left="453"/>
        <w:jc w:val="left"/>
      </w:pPr>
      <w:r>
        <w:rPr>
          <w:rFonts w:eastAsia="等线" w:ascii="Arial" w:cs="Arial" w:hAnsi="Arial"/>
          <w:b w:val="true"/>
          <w:sz w:val="22"/>
        </w:rPr>
        <w:t>BOM Transformation Ratio Sync:</w:t>
      </w:r>
      <w:r>
        <w:rPr>
          <w:rFonts w:eastAsia="等线" w:ascii="Arial" w:cs="Arial" w:hAnsi="Arial"/>
          <w:sz w:val="22"/>
        </w:rPr>
        <w:t xml:space="preserve"> Pull the BOM composition for each finished good — raw material components and the quantity of raw material required per unit of finished good produced.</w:t>
      </w:r>
    </w:p>
    <w:p>
      <w:pPr>
        <w:numPr>
          <w:numId w:val="20"/>
        </w:numPr>
        <w:spacing w:before="120" w:after="120" w:line="288" w:lineRule="auto"/>
        <w:ind w:left="453"/>
        <w:jc w:val="left"/>
      </w:pPr>
      <w:r>
        <w:rPr>
          <w:rFonts w:eastAsia="等线" w:ascii="Arial" w:cs="Arial" w:hAnsi="Arial"/>
          <w:b w:val="true"/>
          <w:sz w:val="22"/>
        </w:rPr>
        <w:t>Raw Material Stock Level Sync:</w:t>
      </w:r>
      <w:r>
        <w:rPr>
          <w:rFonts w:eastAsia="等线" w:ascii="Arial" w:cs="Arial" w:hAnsi="Arial"/>
          <w:sz w:val="22"/>
        </w:rPr>
        <w:t xml:space="preserve"> Pull the current on-hand stock quantity per raw material item from AutoCount, synced on the existing daily schedule.</w:t>
      </w:r>
    </w:p>
    <w:p>
      <w:pPr>
        <w:numPr>
          <w:numId w:val="21"/>
        </w:numPr>
        <w:spacing w:before="120" w:after="120" w:line="288" w:lineRule="auto"/>
        <w:ind w:left="453"/>
        <w:jc w:val="left"/>
      </w:pPr>
      <w:r>
        <w:rPr>
          <w:rFonts w:eastAsia="等线" w:ascii="Arial" w:cs="Arial" w:hAnsi="Arial"/>
          <w:b w:val="true"/>
          <w:sz w:val="22"/>
        </w:rPr>
        <w:t>Finished Good Stock Level Sync:</w:t>
      </w:r>
      <w:r>
        <w:rPr>
          <w:rFonts w:eastAsia="等线" w:ascii="Arial" w:cs="Arial" w:hAnsi="Arial"/>
          <w:sz w:val="22"/>
        </w:rPr>
        <w:t xml:space="preserve"> Pull the current on-hand stock quantity per finished good item from AutoCount, synced on the existing daily schedule.</w:t>
      </w:r>
    </w:p>
    <w:p>
      <w:pPr>
        <w:pStyle w:val="3"/>
        <w:spacing w:before="300" w:after="120" w:line="288" w:lineRule="auto"/>
        <w:ind w:left="0"/>
        <w:jc w:val="left"/>
        <w:outlineLvl w:val="2"/>
      </w:pPr>
      <w:bookmarkStart w:name="heading_9" w:id="9"/>
      <w:r>
        <w:rPr>
          <w:rFonts w:eastAsia="等线" w:ascii="Arial" w:cs="Arial" w:hAnsi="Arial"/>
          <w:b w:val="true"/>
          <w:sz w:val="30"/>
        </w:rPr>
        <w:t>3.2 Stock Visibility and Conversion Planner</w:t>
      </w:r>
      <w:bookmarkEnd w:id="9"/>
    </w:p>
    <w:p>
      <w:pPr>
        <w:numPr>
          <w:numId w:val="22"/>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Logistics Workspace — Stock Conversion Module</w:t>
      </w:r>
    </w:p>
    <w:p>
      <w:pPr>
        <w:numPr>
          <w:numId w:val="23"/>
        </w:numPr>
        <w:spacing w:before="120" w:after="120" w:line="288" w:lineRule="auto"/>
        <w:ind w:left="0"/>
        <w:jc w:val="left"/>
      </w:pPr>
      <w:r>
        <w:rPr>
          <w:rFonts w:eastAsia="等线" w:ascii="Arial" w:cs="Arial" w:hAnsi="Arial"/>
          <w:b w:val="true"/>
          <w:sz w:val="22"/>
        </w:rPr>
        <w:t>Features:</w:t>
      </w:r>
    </w:p>
    <w:p>
      <w:pPr>
        <w:numPr>
          <w:numId w:val="24"/>
        </w:numPr>
        <w:spacing w:before="120" w:after="120" w:line="288" w:lineRule="auto"/>
        <w:ind w:left="453"/>
        <w:jc w:val="left"/>
      </w:pPr>
      <w:r>
        <w:rPr>
          <w:rFonts w:eastAsia="等线" w:ascii="Arial" w:cs="Arial" w:hAnsi="Arial"/>
          <w:b w:val="true"/>
          <w:sz w:val="22"/>
        </w:rPr>
        <w:t>Dual Stock View:</w:t>
      </w:r>
      <w:r>
        <w:rPr>
          <w:rFonts w:eastAsia="等线" w:ascii="Arial" w:cs="Arial" w:hAnsi="Arial"/>
          <w:sz w:val="22"/>
        </w:rPr>
        <w:t xml:space="preserve"> MAIA displays current on-hand stock for both the raw material and the corresponding finished good side by side, so the team can assess total fulfillable quantity at a glance.</w:t>
      </w:r>
    </w:p>
    <w:p>
      <w:pPr>
        <w:numPr>
          <w:numId w:val="25"/>
        </w:numPr>
        <w:spacing w:before="120" w:after="120" w:line="288" w:lineRule="auto"/>
        <w:ind w:left="453"/>
        <w:jc w:val="left"/>
      </w:pPr>
      <w:r>
        <w:rPr>
          <w:rFonts w:eastAsia="等线" w:ascii="Arial" w:cs="Arial" w:hAnsi="Arial"/>
          <w:b w:val="true"/>
          <w:sz w:val="22"/>
        </w:rPr>
        <w:t>Multi-Box Raw Material Visibility:</w:t>
      </w:r>
      <w:r>
        <w:rPr>
          <w:rFonts w:eastAsia="等线" w:ascii="Arial" w:cs="Arial" w:hAnsi="Arial"/>
          <w:sz w:val="22"/>
        </w:rPr>
        <w:t xml:space="preserve"> A single raw material purchase may be size-matched and allocated across multiple finished good box types. MAIA surfaces which finished goods each raw material stock can support, allowing the team to plan allocation across box types before committing to orders.</w:t>
      </w:r>
    </w:p>
    <w:p>
      <w:pPr>
        <w:numPr>
          <w:numId w:val="26"/>
        </w:numPr>
        <w:spacing w:before="120" w:after="120" w:line="288" w:lineRule="auto"/>
        <w:ind w:left="453"/>
        <w:jc w:val="left"/>
      </w:pPr>
      <w:r>
        <w:rPr>
          <w:rFonts w:eastAsia="等线" w:ascii="Arial" w:cs="Arial" w:hAnsi="Arial"/>
          <w:b w:val="true"/>
          <w:sz w:val="22"/>
        </w:rPr>
        <w:t>Producible Quantity Calculation:</w:t>
      </w:r>
      <w:r>
        <w:rPr>
          <w:rFonts w:eastAsia="等线" w:ascii="Arial" w:cs="Arial" w:hAnsi="Arial"/>
          <w:sz w:val="22"/>
        </w:rPr>
        <w:t xml:space="preserve"> From the remaining raw material stock and the BOM transformation ratio, MAIA calculates how many additional finished good units can be produced, supporting order commitment decisions.</w:t>
      </w:r>
    </w:p>
    <w:p>
      <w:pPr>
        <w:numPr>
          <w:numId w:val="27"/>
        </w:numPr>
        <w:spacing w:before="120" w:after="120" w:line="288" w:lineRule="auto"/>
        <w:ind w:left="453"/>
        <w:jc w:val="left"/>
      </w:pPr>
      <w:r>
        <w:rPr>
          <w:rFonts w:eastAsia="等线" w:ascii="Arial" w:cs="Arial" w:hAnsi="Arial"/>
          <w:b w:val="true"/>
          <w:sz w:val="22"/>
        </w:rPr>
        <w:t>Conversion Entry:</w:t>
      </w:r>
      <w:r>
        <w:rPr>
          <w:rFonts w:eastAsia="等线" w:ascii="Arial" w:cs="Arial" w:hAnsi="Arial"/>
          <w:sz w:val="22"/>
        </w:rPr>
        <w:t xml:space="preserve"> Operator records the raw material quantity consumed and the actual finished good quantity produced for a production run.</w:t>
      </w:r>
    </w:p>
    <w:p>
      <w:pPr>
        <w:numPr>
          <w:numId w:val="28"/>
        </w:numPr>
        <w:spacing w:before="120" w:after="120" w:line="288" w:lineRule="auto"/>
        <w:ind w:left="453"/>
        <w:jc w:val="left"/>
      </w:pPr>
      <w:r>
        <w:rPr>
          <w:rFonts w:eastAsia="等线" w:ascii="Arial" w:cs="Arial" w:hAnsi="Arial"/>
          <w:b w:val="true"/>
          <w:sz w:val="22"/>
        </w:rPr>
        <w:t>Expected Output Calculation:</w:t>
      </w:r>
      <w:r>
        <w:rPr>
          <w:rFonts w:eastAsia="等线" w:ascii="Arial" w:cs="Arial" w:hAnsi="Arial"/>
          <w:sz w:val="22"/>
        </w:rPr>
        <w:t xml:space="preserve"> MAIA calculates the BOM-implied expected output from the consumed raw material quantity and the transformation ratio.</w:t>
      </w:r>
    </w:p>
    <w:p>
      <w:pPr>
        <w:numPr>
          <w:numId w:val="29"/>
        </w:numPr>
        <w:spacing w:before="120" w:after="120" w:line="288" w:lineRule="auto"/>
        <w:ind w:left="453"/>
        <w:jc w:val="left"/>
      </w:pPr>
      <w:r>
        <w:rPr>
          <w:rFonts w:eastAsia="等线" w:ascii="Arial" w:cs="Arial" w:hAnsi="Arial"/>
          <w:b w:val="true"/>
          <w:sz w:val="22"/>
        </w:rPr>
        <w:t>Yield Variance Display:</w:t>
      </w:r>
      <w:r>
        <w:rPr>
          <w:rFonts w:eastAsia="等线" w:ascii="Arial" w:cs="Arial" w:hAnsi="Arial"/>
          <w:sz w:val="22"/>
        </w:rPr>
        <w:t xml:space="preserve"> MAIA surfaces the variance between expected and actual output — unit loss is shown explicitly against the BOM-implied result, enabling the team to decide whether to adjust the Delivery Order quantity to actual, give FOC units, or initiate a re-order based on the size of the shortfall.</w:t>
      </w:r>
    </w:p>
    <w:p>
      <w:pPr>
        <w:numPr>
          <w:numId w:val="30"/>
        </w:numPr>
        <w:spacing w:before="120" w:after="120" w:line="288" w:lineRule="auto"/>
        <w:ind w:left="453"/>
        <w:jc w:val="left"/>
      </w:pPr>
      <w:r>
        <w:rPr>
          <w:rFonts w:eastAsia="等线" w:ascii="Arial" w:cs="Arial" w:hAnsi="Arial"/>
          <w:b w:val="true"/>
          <w:sz w:val="22"/>
        </w:rPr>
        <w:t>Last Sync Timestamp:</w:t>
      </w:r>
      <w:r>
        <w:rPr>
          <w:rFonts w:eastAsia="等线" w:ascii="Arial" w:cs="Arial" w:hAnsi="Arial"/>
          <w:sz w:val="22"/>
        </w:rPr>
        <w:t xml:space="preserve"> MAIA displays the last data sync timestamp so users understand the data freshness.</w:t>
      </w:r>
    </w:p>
    <w:p>
      <w:pPr>
        <w:pStyle w:val="3"/>
        <w:spacing w:before="300" w:after="120" w:line="288" w:lineRule="auto"/>
        <w:ind w:left="0"/>
        <w:jc w:val="left"/>
        <w:outlineLvl w:val="2"/>
      </w:pPr>
      <w:bookmarkStart w:name="heading_10" w:id="10"/>
      <w:r>
        <w:rPr>
          <w:rFonts w:eastAsia="等线" w:ascii="Arial" w:cs="Arial" w:hAnsi="Arial"/>
          <w:b w:val="true"/>
          <w:sz w:val="30"/>
        </w:rPr>
        <w:t xml:space="preserve">Stock Item Maintenance </w:t>
      </w:r>
      <w:bookmarkEnd w:id="10"/>
    </w:p>
    <w:tbl>
      <w:tblPr>
        <w:tblW w:w="0" w:type="auto"/>
        <w:tblInd w:w="0" w:type="dxa"/>
        <w:tblBorders>
          <w:top w:val="none" w:space="4"/>
          <w:left w:val="none" w:space="4"/>
          <w:bottom w:val="none" w:space="4"/>
          <w:right w:val="none" w:space="4"/>
          <w:insideH w:val="none" w:space="4"/>
          <w:insideV w:val="none" w:space="4"/>
        </w:tblBorders>
        <w:tblLayout w:type="fixed"/>
      </w:tblPr>
      <w:tblGrid>
        <w:gridCol w:w="4257"/>
        <w:gridCol w:w="4022"/>
      </w:tblGrid>
      <w:tr>
        <w:tc>
          <w:tcPr>
            <w:tcW w:w="4257" w:type="dxa"/>
            <w:tcMar>
              <w:top w:type="dxa" w:w="60"/>
              <w:left w:type="dxa" w:w="120"/>
              <w:bottom w:type="dxa" w:w="30"/>
              <w:right w:type="dxa" w:w="120"/>
            </w:tcMar>
          </w:tcPr>
          <w:p>
            <w:pPr>
              <w:spacing w:before="120" w:after="120" w:line="288" w:lineRule="auto"/>
              <w:ind w:left="0"/>
              <w:jc w:val="center"/>
            </w:pPr>
            <w:r>
              <w:drawing>
                <wp:inline distT="0" distR="0" distB="0" distL="0">
                  <wp:extent cx="2543175" cy="144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2543175" cy="1447800"/>
                          </a:xfrm>
                          <a:prstGeom prst="rect">
                            <a:avLst/>
                          </a:prstGeom>
                        </pic:spPr>
                      </pic:pic>
                    </a:graphicData>
                  </a:graphic>
                </wp:inline>
              </w:drawing>
            </w:r>
          </w:p>
        </w:tc>
        <w:tc>
          <w:tcPr>
            <w:tcW w:w="4022" w:type="dxa"/>
            <w:tcMar>
              <w:top w:type="dxa" w:w="60"/>
              <w:left w:type="dxa" w:w="120"/>
              <w:bottom w:type="dxa" w:w="30"/>
              <w:right w:type="dxa" w:w="120"/>
            </w:tcMar>
          </w:tcPr>
          <w:p>
            <w:pPr>
              <w:spacing w:before="120" w:after="120" w:line="288" w:lineRule="auto"/>
              <w:ind w:left="0"/>
              <w:jc w:val="center"/>
            </w:pPr>
            <w:r>
              <w:drawing>
                <wp:inline distT="0" distR="0" distB="0" distL="0">
                  <wp:extent cx="2400300" cy="1438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2400300" cy="143827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What this feature is about</w:t>
      </w:r>
      <w:r>
        <w:rPr>
          <w:rFonts w:eastAsia="等线" w:ascii="Arial" w:cs="Arial" w:hAnsi="Arial"/>
          <w:sz w:val="22"/>
        </w:rPr>
        <w:br/>
      </w:r>
      <w:r>
        <w:rPr>
          <w:rFonts w:eastAsia="等线" w:ascii="Arial" w:cs="Arial" w:hAnsi="Arial"/>
          <w:sz w:val="22"/>
        </w:rPr>
        <w:t xml:space="preserve">SIM is the </w:t>
      </w:r>
      <w:r>
        <w:rPr>
          <w:rFonts w:eastAsia="等线" w:ascii="Arial" w:cs="Arial" w:hAnsi="Arial"/>
          <w:b w:val="true"/>
          <w:sz w:val="22"/>
        </w:rPr>
        <w:t>item master</w:t>
      </w:r>
      <w:r>
        <w:rPr>
          <w:rFonts w:eastAsia="等线" w:ascii="Arial" w:cs="Arial" w:hAnsi="Arial"/>
          <w:sz w:val="22"/>
        </w:rPr>
        <w:t>: all finished goods, semi‑finished goods, and raw materials are created and maintained here. It controls item codes, UOM, costing method, and basic stock attributes used everywhere else.</w:t>
      </w:r>
    </w:p>
    <w:p>
      <w:pPr>
        <w:spacing w:before="120" w:after="120" w:line="288" w:lineRule="auto"/>
        <w:ind w:left="0"/>
        <w:jc w:val="left"/>
      </w:pPr>
      <w:r>
        <w:rPr>
          <w:rFonts w:eastAsia="等线" w:ascii="Arial" w:cs="Arial" w:hAnsi="Arial"/>
          <w:b w:val="true"/>
          <w:sz w:val="22"/>
        </w:rPr>
        <w:t>Purpose (for scoping)</w:t>
      </w:r>
    </w:p>
    <w:p>
      <w:pPr>
        <w:numPr>
          <w:numId w:val="31"/>
        </w:numPr>
        <w:spacing w:before="120" w:after="120" w:line="288" w:lineRule="auto"/>
        <w:ind w:left="0"/>
        <w:jc w:val="left"/>
      </w:pPr>
      <w:r>
        <w:rPr>
          <w:rFonts w:eastAsia="等线" w:ascii="Arial" w:cs="Arial" w:hAnsi="Arial"/>
          <w:sz w:val="22"/>
        </w:rPr>
        <w:t>Define the canonical identity of items that will appear in BOM, Assembly Orders, and Stock Assembly.</w:t>
      </w:r>
    </w:p>
    <w:p>
      <w:pPr>
        <w:numPr>
          <w:numId w:val="32"/>
        </w:numPr>
        <w:spacing w:before="120" w:after="120" w:line="288" w:lineRule="auto"/>
        <w:ind w:left="0"/>
        <w:jc w:val="left"/>
      </w:pPr>
      <w:r>
        <w:rPr>
          <w:rFonts w:eastAsia="等线" w:ascii="Arial" w:cs="Arial" w:hAnsi="Arial"/>
          <w:sz w:val="22"/>
        </w:rPr>
        <w:t>Ensure all downstream documents reference the same item records for quantity and costing.</w:t>
      </w:r>
    </w:p>
    <w:p>
      <w:pPr>
        <w:spacing w:before="120" w:after="120" w:line="288" w:lineRule="auto"/>
        <w:ind w:left="0"/>
        <w:jc w:val="left"/>
      </w:pPr>
      <w:r>
        <w:rPr>
          <w:rFonts w:eastAsia="等线" w:ascii="Arial" w:cs="Arial" w:hAnsi="Arial"/>
          <w:b w:val="true"/>
          <w:sz w:val="22"/>
        </w:rPr>
        <w:t>Typical user actions</w:t>
      </w:r>
    </w:p>
    <w:p>
      <w:pPr>
        <w:numPr>
          <w:numId w:val="33"/>
        </w:numPr>
        <w:spacing w:before="120" w:after="120" w:line="288" w:lineRule="auto"/>
        <w:ind w:left="0"/>
        <w:jc w:val="left"/>
      </w:pPr>
      <w:r>
        <w:rPr>
          <w:rFonts w:eastAsia="等线" w:ascii="Arial" w:cs="Arial" w:hAnsi="Arial"/>
          <w:sz w:val="22"/>
        </w:rPr>
        <w:t>Create/edit finished goods (e.g. NOVUS box).</w:t>
      </w:r>
    </w:p>
    <w:p>
      <w:pPr>
        <w:numPr>
          <w:numId w:val="34"/>
        </w:numPr>
        <w:spacing w:before="120" w:after="120" w:line="288" w:lineRule="auto"/>
        <w:ind w:left="0"/>
        <w:jc w:val="left"/>
      </w:pPr>
      <w:r>
        <w:rPr>
          <w:rFonts w:eastAsia="等线" w:ascii="Arial" w:cs="Arial" w:hAnsi="Arial"/>
          <w:sz w:val="22"/>
        </w:rPr>
        <w:t>Create/edit components/semi‑finished items (e.g. LP NOVUS, inner packs, materials).</w:t>
      </w:r>
    </w:p>
    <w:p>
      <w:pPr>
        <w:numPr>
          <w:numId w:val="35"/>
        </w:numPr>
        <w:spacing w:before="120" w:after="120" w:line="288" w:lineRule="auto"/>
        <w:ind w:left="0"/>
        <w:jc w:val="left"/>
      </w:pPr>
      <w:r>
        <w:rPr>
          <w:rFonts w:eastAsia="等线" w:ascii="Arial" w:cs="Arial" w:hAnsi="Arial"/>
          <w:sz w:val="22"/>
        </w:rPr>
        <w:t>Set UOM, item group, default location, costing method, active/inactive status.</w:t>
      </w:r>
    </w:p>
    <w:p>
      <w:pPr>
        <w:spacing w:before="120" w:after="120" w:line="288" w:lineRule="auto"/>
        <w:ind w:left="0"/>
        <w:jc w:val="left"/>
      </w:pPr>
      <w:r>
        <w:rPr>
          <w:rFonts w:eastAsia="等线" w:ascii="Arial" w:cs="Arial" w:hAnsi="Arial"/>
          <w:b w:val="true"/>
          <w:sz w:val="22"/>
        </w:rPr>
        <w:t>How SIM passes context forward</w:t>
      </w:r>
    </w:p>
    <w:p>
      <w:pPr>
        <w:numPr>
          <w:numId w:val="36"/>
        </w:numPr>
        <w:spacing w:before="120" w:after="120" w:line="288" w:lineRule="auto"/>
        <w:ind w:left="0"/>
        <w:jc w:val="left"/>
      </w:pPr>
      <w:r>
        <w:rPr>
          <w:rFonts w:eastAsia="等线" w:ascii="Arial" w:cs="Arial" w:hAnsi="Arial"/>
          <w:b w:val="true"/>
          <w:sz w:val="22"/>
        </w:rPr>
        <w:t>Item BOM Maintenance</w:t>
      </w:r>
      <w:r>
        <w:rPr>
          <w:rFonts w:eastAsia="等线" w:ascii="Arial" w:cs="Arial" w:hAnsi="Arial"/>
          <w:sz w:val="22"/>
        </w:rPr>
        <w:t xml:space="preserve"> can only select items defined in SIM (for both BOM parent and BOM components).</w:t>
      </w:r>
    </w:p>
    <w:p>
      <w:pPr>
        <w:numPr>
          <w:numId w:val="37"/>
        </w:numPr>
        <w:spacing w:before="120" w:after="120" w:line="288" w:lineRule="auto"/>
        <w:ind w:left="0"/>
        <w:jc w:val="left"/>
      </w:pPr>
      <w:r>
        <w:rPr>
          <w:rFonts w:eastAsia="等线" w:ascii="Arial" w:cs="Arial" w:hAnsi="Arial"/>
          <w:b w:val="true"/>
          <w:sz w:val="22"/>
        </w:rPr>
        <w:t>Stock Assembly Order</w:t>
      </w:r>
      <w:r>
        <w:rPr>
          <w:rFonts w:eastAsia="等线" w:ascii="Arial" w:cs="Arial" w:hAnsi="Arial"/>
          <w:sz w:val="22"/>
        </w:rPr>
        <w:t xml:space="preserve"> and </w:t>
      </w:r>
      <w:r>
        <w:rPr>
          <w:rFonts w:eastAsia="等线" w:ascii="Arial" w:cs="Arial" w:hAnsi="Arial"/>
          <w:b w:val="true"/>
          <w:sz w:val="22"/>
        </w:rPr>
        <w:t>Stock Assembly</w:t>
      </w:r>
      <w:r>
        <w:rPr>
          <w:rFonts w:eastAsia="等线" w:ascii="Arial" w:cs="Arial" w:hAnsi="Arial"/>
          <w:sz w:val="22"/>
        </w:rPr>
        <w:t xml:space="preserve"> can only assemble items that exist in SIM; their lines reference SIM item codes and inherit description, UOM, costing behaviour.</w:t>
      </w:r>
    </w:p>
    <w:p>
      <w:pPr>
        <w:numPr>
          <w:numId w:val="38"/>
        </w:numPr>
        <w:spacing w:before="120" w:after="120" w:line="288" w:lineRule="auto"/>
        <w:ind w:left="0"/>
        <w:jc w:val="left"/>
      </w:pPr>
      <w:r>
        <w:rPr>
          <w:rFonts w:eastAsia="等线" w:ascii="Arial" w:cs="Arial" w:hAnsi="Arial"/>
          <w:sz w:val="22"/>
        </w:rPr>
        <w:t xml:space="preserve">In other words, SIM is the </w:t>
      </w:r>
      <w:r>
        <w:rPr>
          <w:rFonts w:eastAsia="等线" w:ascii="Arial" w:cs="Arial" w:hAnsi="Arial"/>
          <w:b w:val="true"/>
          <w:sz w:val="22"/>
        </w:rPr>
        <w:t>shared master</w:t>
      </w:r>
      <w:r>
        <w:rPr>
          <w:rFonts w:eastAsia="等线" w:ascii="Arial" w:cs="Arial" w:hAnsi="Arial"/>
          <w:sz w:val="22"/>
        </w:rPr>
        <w:t xml:space="preserve"> that keeps item identity consistent across all BOM and assembly documents.</w:t>
      </w:r>
    </w:p>
    <w:p>
      <w:pPr>
        <w:pStyle w:val="3"/>
        <w:spacing w:before="300" w:after="120" w:line="288" w:lineRule="auto"/>
        <w:ind w:left="0"/>
        <w:jc w:val="left"/>
        <w:outlineLvl w:val="2"/>
      </w:pPr>
      <w:bookmarkStart w:name="heading_11" w:id="11"/>
      <w:r>
        <w:rPr>
          <w:rFonts w:eastAsia="等线" w:ascii="Arial" w:cs="Arial" w:hAnsi="Arial"/>
          <w:b w:val="true"/>
          <w:sz w:val="30"/>
        </w:rPr>
        <w:t>Item B.O.M.</w:t>
      </w:r>
      <w:bookmarkEnd w:id="11"/>
    </w:p>
    <w:tbl>
      <w:tblPr>
        <w:tblW w:w="0" w:type="auto"/>
        <w:tblInd w:w="0" w:type="dxa"/>
        <w:tblBorders>
          <w:top w:val="none" w:space="4"/>
          <w:left w:val="none" w:space="4"/>
          <w:bottom w:val="none" w:space="4"/>
          <w:right w:val="none" w:space="4"/>
          <w:insideH w:val="none" w:space="4"/>
          <w:insideV w:val="none" w:space="4"/>
        </w:tblBorders>
        <w:tblLayout w:type="fixed"/>
      </w:tblPr>
      <w:tblGrid>
        <w:gridCol w:w="3999"/>
        <w:gridCol w:w="4280"/>
      </w:tblGrid>
      <w:tr>
        <w:tc>
          <w:tcPr>
            <w:tcW w:w="3999" w:type="dxa"/>
            <w:tcMar>
              <w:top w:type="dxa" w:w="60"/>
              <w:left w:type="dxa" w:w="120"/>
              <w:bottom w:type="dxa" w:w="30"/>
              <w:right w:type="dxa" w:w="120"/>
            </w:tcMar>
          </w:tcPr>
          <w:p>
            <w:pPr>
              <w:spacing w:before="120" w:after="120" w:line="288" w:lineRule="auto"/>
              <w:ind w:left="0"/>
              <w:jc w:val="center"/>
            </w:pPr>
            <w:r>
              <w:drawing>
                <wp:inline distT="0" distR="0" distB="0" distL="0">
                  <wp:extent cx="2381250" cy="1428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2381250" cy="1428750"/>
                          </a:xfrm>
                          <a:prstGeom prst="rect">
                            <a:avLst/>
                          </a:prstGeom>
                        </pic:spPr>
                      </pic:pic>
                    </a:graphicData>
                  </a:graphic>
                </wp:inline>
              </w:drawing>
            </w:r>
          </w:p>
        </w:tc>
        <w:tc>
          <w:tcPr>
            <w:tcW w:w="4280" w:type="dxa"/>
            <w:tcMar>
              <w:top w:type="dxa" w:w="60"/>
              <w:left w:type="dxa" w:w="120"/>
              <w:bottom w:type="dxa" w:w="30"/>
              <w:right w:type="dxa" w:w="120"/>
            </w:tcMar>
          </w:tcPr>
          <w:p>
            <w:pPr>
              <w:spacing w:before="120" w:after="120" w:line="288" w:lineRule="auto"/>
              <w:ind w:left="0"/>
              <w:jc w:val="center"/>
            </w:pPr>
            <w:r>
              <w:drawing>
                <wp:inline distT="0" distR="0" distB="0" distL="0">
                  <wp:extent cx="2562225" cy="1438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2562225" cy="1438275"/>
                          </a:xfrm>
                          <a:prstGeom prst="rect">
                            <a:avLst/>
                          </a:prstGeom>
                        </pic:spPr>
                      </pic:pic>
                    </a:graphicData>
                  </a:graphic>
                </wp:inline>
              </w:drawing>
            </w:r>
          </w:p>
        </w:tc>
      </w:tr>
    </w:tbl>
    <w:p>
      <w:pPr>
        <w:spacing w:before="120" w:after="120" w:line="288" w:lineRule="auto"/>
        <w:ind w:left="0"/>
        <w:jc w:val="center"/>
      </w:pPr>
      <w:r>
        <w:drawing>
          <wp:inline distT="0" distR="0" distB="0" distL="0">
            <wp:extent cx="4362450" cy="2476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4362450" cy="24765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What it is</w:t>
      </w:r>
      <w:r>
        <w:rPr>
          <w:rFonts w:eastAsia="等线" w:ascii="Arial" w:cs="Arial" w:hAnsi="Arial"/>
          <w:sz w:val="22"/>
        </w:rPr>
        <w:br/>
      </w:r>
      <w:r>
        <w:rPr>
          <w:rFonts w:eastAsia="等线" w:ascii="Arial" w:cs="Arial" w:hAnsi="Arial"/>
          <w:sz w:val="22"/>
        </w:rPr>
        <w:t>Item BOM is the master definition of how a finished good is produced. It tells AutoCount:</w:t>
      </w:r>
    </w:p>
    <w:p>
      <w:pPr>
        <w:numPr>
          <w:numId w:val="39"/>
        </w:numPr>
        <w:spacing w:before="120" w:after="120" w:line="288" w:lineRule="auto"/>
        <w:ind w:left="0"/>
        <w:jc w:val="left"/>
      </w:pPr>
      <w:r>
        <w:rPr>
          <w:rFonts w:eastAsia="等线" w:ascii="Arial" w:cs="Arial" w:hAnsi="Arial"/>
          <w:sz w:val="22"/>
        </w:rPr>
        <w:t>What components are needed.</w:t>
      </w:r>
    </w:p>
    <w:p>
      <w:pPr>
        <w:numPr>
          <w:numId w:val="40"/>
        </w:numPr>
        <w:spacing w:before="120" w:after="120" w:line="288" w:lineRule="auto"/>
        <w:ind w:left="0"/>
        <w:jc w:val="left"/>
      </w:pPr>
      <w:r>
        <w:rPr>
          <w:rFonts w:eastAsia="等线" w:ascii="Arial" w:cs="Arial" w:hAnsi="Arial"/>
          <w:sz w:val="22"/>
        </w:rPr>
        <w:t>In what quantity per finished unit.</w:t>
      </w:r>
    </w:p>
    <w:p>
      <w:pPr>
        <w:numPr>
          <w:numId w:val="41"/>
        </w:numPr>
        <w:spacing w:before="120" w:after="120" w:line="288" w:lineRule="auto"/>
        <w:ind w:left="0"/>
        <w:jc w:val="left"/>
      </w:pPr>
      <w:r>
        <w:rPr>
          <w:rFonts w:eastAsia="等线" w:ascii="Arial" w:cs="Arial" w:hAnsi="Arial"/>
          <w:sz w:val="22"/>
        </w:rPr>
        <w:t>At what cost, to derive the finished good's production cost.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How the client uses it</w:t>
      </w:r>
      <w:r>
        <w:rPr>
          <w:rFonts w:eastAsia="等线" w:ascii="Arial" w:cs="Arial" w:hAnsi="Arial"/>
          <w:sz w:val="22"/>
        </w:rPr>
        <w:br/>
      </w:r>
      <w:r>
        <w:rPr>
          <w:rFonts w:eastAsia="等线" w:ascii="Arial" w:cs="Arial" w:hAnsi="Arial"/>
          <w:sz w:val="22"/>
        </w:rPr>
        <w:t xml:space="preserve">The client maintains one BOM per finished box size (e.g. AUTO ONE CAR (450), NOVUS (1315), B1, B2). Their setup is a straightforward </w:t>
      </w:r>
      <w:r>
        <w:rPr>
          <w:rFonts w:eastAsia="等线" w:ascii="Arial" w:cs="Arial" w:hAnsi="Arial"/>
          <w:b w:val="true"/>
          <w:sz w:val="22"/>
        </w:rPr>
        <w:t>1:1 conversion</w:t>
      </w:r>
      <w:r>
        <w:rPr>
          <w:rFonts w:eastAsia="等线" w:ascii="Arial" w:cs="Arial" w:hAnsi="Arial"/>
          <w:sz w:val="22"/>
        </w:rPr>
        <w:t>:</w:t>
      </w:r>
    </w:p>
    <w:p>
      <w:pPr>
        <w:numPr>
          <w:numId w:val="42"/>
        </w:numPr>
        <w:spacing w:before="120" w:after="120" w:line="288" w:lineRule="auto"/>
        <w:ind w:left="0"/>
        <w:jc w:val="left"/>
      </w:pPr>
      <w:r>
        <w:rPr>
          <w:rFonts w:eastAsia="等线" w:ascii="Arial" w:cs="Arial" w:hAnsi="Arial"/>
          <w:sz w:val="22"/>
        </w:rPr>
        <w:t xml:space="preserve">Each finished carton requires </w:t>
      </w:r>
      <w:r>
        <w:rPr>
          <w:rFonts w:eastAsia="等线" w:ascii="Arial" w:cs="Arial" w:hAnsi="Arial"/>
          <w:b w:val="true"/>
          <w:sz w:val="22"/>
        </w:rPr>
        <w:t>one LP (inner pack / semi-finished item)</w:t>
      </w:r>
      <w:r>
        <w:rPr>
          <w:rFonts w:eastAsia="等线" w:ascii="Arial" w:cs="Arial" w:hAnsi="Arial"/>
          <w:sz w:val="22"/>
        </w:rPr>
        <w:t xml:space="preserve"> as its only component.</w:t>
      </w:r>
    </w:p>
    <w:p>
      <w:pPr>
        <w:numPr>
          <w:numId w:val="43"/>
        </w:numPr>
        <w:spacing w:before="120" w:after="120" w:line="288" w:lineRule="auto"/>
        <w:ind w:left="0"/>
        <w:jc w:val="left"/>
      </w:pPr>
      <w:r>
        <w:rPr>
          <w:rFonts w:eastAsia="等线" w:ascii="Arial" w:cs="Arial" w:hAnsi="Arial"/>
          <w:sz w:val="22"/>
        </w:rPr>
        <w:t>No overhead cost and no assembly cost are configured.</w:t>
      </w:r>
    </w:p>
    <w:p>
      <w:pPr>
        <w:numPr>
          <w:numId w:val="44"/>
        </w:numPr>
        <w:spacing w:before="120" w:after="120" w:line="288" w:lineRule="auto"/>
        <w:ind w:left="0"/>
        <w:jc w:val="left"/>
      </w:pPr>
      <w:r>
        <w:rPr>
          <w:rFonts w:eastAsia="等线" w:ascii="Arial" w:cs="Arial" w:hAnsi="Arial"/>
          <w:sz w:val="22"/>
        </w:rPr>
        <w:t xml:space="preserve">This means their production is a </w:t>
      </w:r>
      <w:r>
        <w:rPr>
          <w:rFonts w:eastAsia="等线" w:ascii="Arial" w:cs="Arial" w:hAnsi="Arial"/>
          <w:b w:val="true"/>
          <w:sz w:val="22"/>
        </w:rPr>
        <w:t>repackaging step,</w:t>
      </w:r>
      <w:r>
        <w:rPr>
          <w:rFonts w:eastAsia="等线" w:ascii="Arial" w:cs="Arial" w:hAnsi="Arial"/>
          <w:sz w:val="22"/>
        </w:rPr>
        <w:t xml:space="preserve"> converting a semi-finished LP item into a finished carton.</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How costing works through BOM</w:t>
      </w:r>
      <w:r>
        <w:rPr>
          <w:rFonts w:eastAsia="等线" w:ascii="Arial" w:cs="Arial" w:hAnsi="Arial"/>
          <w:sz w:val="22"/>
        </w:rPr>
        <w:br/>
      </w:r>
      <w:r>
        <w:rPr>
          <w:rFonts w:eastAsia="等线" w:ascii="Arial" w:cs="Arial" w:hAnsi="Arial"/>
          <w:sz w:val="22"/>
        </w:rPr>
        <w:t xml:space="preserve">BOM is not just a recipe; it is also the </w:t>
      </w:r>
      <w:r>
        <w:rPr>
          <w:rFonts w:eastAsia="等线" w:ascii="Arial" w:cs="Arial" w:hAnsi="Arial"/>
          <w:b w:val="true"/>
          <w:sz w:val="22"/>
        </w:rPr>
        <w:t>costing engine</w:t>
      </w:r>
      <w:r>
        <w:rPr>
          <w:rFonts w:eastAsia="等线" w:ascii="Arial" w:cs="Arial" w:hAnsi="Arial"/>
          <w:sz w:val="22"/>
        </w:rPr>
        <w:t xml:space="preserve"> for finished goods:</w:t>
      </w:r>
    </w:p>
    <w:p>
      <w:pPr>
        <w:numPr>
          <w:numId w:val="45"/>
        </w:numPr>
        <w:spacing w:before="120" w:after="120" w:line="288" w:lineRule="auto"/>
        <w:ind w:left="0"/>
        <w:jc w:val="left"/>
      </w:pPr>
      <w:r>
        <w:rPr>
          <w:rFonts w:eastAsia="等线" w:ascii="Arial" w:cs="Arial" w:hAnsi="Arial"/>
          <w:sz w:val="22"/>
        </w:rPr>
        <w:t>Finish Good Cost = Component UTD Cost × BOM Qty.</w:t>
      </w:r>
    </w:p>
    <w:p>
      <w:pPr>
        <w:numPr>
          <w:numId w:val="46"/>
        </w:numPr>
        <w:spacing w:before="120" w:after="120" w:line="288" w:lineRule="auto"/>
        <w:ind w:left="0"/>
        <w:jc w:val="left"/>
      </w:pPr>
      <w:r>
        <w:rPr>
          <w:rFonts w:eastAsia="等线" w:ascii="Arial" w:cs="Arial" w:hAnsi="Arial"/>
          <w:sz w:val="22"/>
        </w:rPr>
        <w:t>Since overhead and assembly cost = 0, finished carton cost equals LP cost directly (e.g. LP AUTO ONE CAR = 1.85 → finished AUTO ONE CAR = 1.85).</w:t>
      </w:r>
    </w:p>
    <w:p>
      <w:pPr>
        <w:numPr>
          <w:numId w:val="47"/>
        </w:numPr>
        <w:spacing w:before="120" w:after="120" w:line="288" w:lineRule="auto"/>
        <w:ind w:left="0"/>
        <w:jc w:val="left"/>
      </w:pPr>
      <w:r>
        <w:rPr>
          <w:rFonts w:eastAsia="等线" w:ascii="Arial" w:cs="Arial" w:hAnsi="Arial"/>
          <w:sz w:val="22"/>
        </w:rPr>
        <w:t xml:space="preserve">When LP costs change (supplier price revision or new purchase), user clicks </w:t>
      </w:r>
      <w:r>
        <w:rPr>
          <w:rFonts w:eastAsia="等线" w:ascii="Arial" w:cs="Arial" w:hAnsi="Arial"/>
          <w:b w:val="true"/>
          <w:sz w:val="22"/>
        </w:rPr>
        <w:t>Update BOM Item Cost</w:t>
      </w:r>
      <w:r>
        <w:rPr>
          <w:rFonts w:eastAsia="等线" w:ascii="Arial" w:cs="Arial" w:hAnsi="Arial"/>
          <w:sz w:val="22"/>
        </w:rPr>
        <w:t xml:space="preserve"> to recalculate and push updated cost across all finished goods at once.</w:t>
      </w:r>
    </w:p>
    <w:p>
      <w:pPr>
        <w:numPr>
          <w:numId w:val="48"/>
        </w:numPr>
        <w:spacing w:before="120" w:after="120" w:line="288" w:lineRule="auto"/>
        <w:ind w:left="0"/>
        <w:jc w:val="left"/>
      </w:pPr>
      <w:r>
        <w:rPr>
          <w:rFonts w:eastAsia="等线" w:ascii="Arial" w:cs="Arial" w:hAnsi="Arial"/>
          <w:sz w:val="22"/>
        </w:rPr>
        <w:t>This updated cost then flows into every subsequent Stock Assembly, ensuring Net Total Cost always reflects the latest material cost.</w:t>
      </w:r>
    </w:p>
    <w:p>
      <w:pPr>
        <w:spacing w:before="120" w:after="120" w:line="288" w:lineRule="auto"/>
        <w:ind w:left="0"/>
        <w:jc w:val="left"/>
      </w:pPr>
    </w:p>
    <w:p>
      <w:pPr>
        <w:spacing w:before="120" w:after="120" w:line="288" w:lineRule="auto"/>
        <w:ind w:left="0"/>
        <w:jc w:val="left"/>
      </w:pPr>
      <w:r>
        <w:rPr>
          <w:rFonts w:eastAsia="等线" w:ascii="Arial" w:cs="Arial" w:hAnsi="Arial"/>
          <w:sz w:val="22"/>
        </w:rPr>
        <w:t>Fixguru one-to-many ratio item SKU</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Stock Assembly - SA</w:t>
      </w:r>
      <w:bookmarkEnd w:id="12"/>
    </w:p>
    <w:tbl>
      <w:tblPr>
        <w:tblW w:w="0" w:type="auto"/>
        <w:tblInd w:w="0" w:type="dxa"/>
        <w:tblBorders>
          <w:top w:val="none" w:space="4"/>
          <w:left w:val="none" w:space="4"/>
          <w:bottom w:val="none" w:space="4"/>
          <w:right w:val="none" w:space="4"/>
          <w:insideH w:val="none" w:space="4"/>
          <w:insideV w:val="none" w:space="4"/>
        </w:tblBorders>
        <w:tblLayout w:type="fixed"/>
      </w:tblPr>
      <w:tblGrid>
        <w:gridCol w:w="4022"/>
        <w:gridCol w:w="4257"/>
      </w:tblGrid>
      <w:tr>
        <w:tc>
          <w:tcPr>
            <w:tcW w:w="4022" w:type="dxa"/>
            <w:tcMar>
              <w:top w:type="dxa" w:w="60"/>
              <w:left w:type="dxa" w:w="120"/>
              <w:bottom w:type="dxa" w:w="30"/>
              <w:right w:type="dxa" w:w="120"/>
            </w:tcMar>
          </w:tcPr>
          <w:p>
            <w:pPr>
              <w:spacing w:before="120" w:after="120" w:line="288" w:lineRule="auto"/>
              <w:ind w:left="0"/>
              <w:jc w:val="center"/>
            </w:pPr>
            <w:r>
              <w:drawing>
                <wp:inline distT="0" distR="0" distB="0" distL="0">
                  <wp:extent cx="2400300" cy="1438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2400300" cy="1438275"/>
                          </a:xfrm>
                          <a:prstGeom prst="rect">
                            <a:avLst/>
                          </a:prstGeom>
                        </pic:spPr>
                      </pic:pic>
                    </a:graphicData>
                  </a:graphic>
                </wp:inline>
              </w:drawing>
            </w:r>
          </w:p>
        </w:tc>
        <w:tc>
          <w:tcPr>
            <w:tcW w:w="4257" w:type="dxa"/>
            <w:tcMar>
              <w:top w:type="dxa" w:w="60"/>
              <w:left w:type="dxa" w:w="120"/>
              <w:bottom w:type="dxa" w:w="30"/>
              <w:right w:type="dxa" w:w="120"/>
            </w:tcMar>
          </w:tcPr>
          <w:p>
            <w:pPr>
              <w:spacing w:before="120" w:after="120" w:line="288" w:lineRule="auto"/>
              <w:ind w:left="0"/>
              <w:jc w:val="center"/>
            </w:pPr>
            <w:r>
              <w:drawing>
                <wp:inline distT="0" distR="0" distB="0" distL="0">
                  <wp:extent cx="2543175" cy="1447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2543175" cy="14478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 xml:space="preserve">In this Stock Assembly, variance happens because </w:t>
      </w:r>
      <w:r>
        <w:rPr>
          <w:rFonts w:eastAsia="等线" w:ascii="Arial" w:cs="Arial" w:hAnsi="Arial"/>
          <w:b w:val="true"/>
          <w:sz w:val="22"/>
        </w:rPr>
        <w:t>actual quantity consumed is different from the BOM/order quantity</w:t>
      </w:r>
      <w:r>
        <w:rPr>
          <w:rFonts w:eastAsia="等线" w:ascii="Arial" w:cs="Arial" w:hAnsi="Arial"/>
          <w:sz w:val="22"/>
        </w:rPr>
        <w:t xml:space="preserve">, and AutoCount shows that difference in the </w:t>
      </w:r>
      <w:r>
        <w:rPr>
          <w:rFonts w:eastAsia="等线" w:ascii="Arial" w:cs="Arial" w:hAnsi="Arial"/>
          <w:b w:val="true"/>
          <w:sz w:val="22"/>
        </w:rPr>
        <w:t>Variance Qty</w:t>
      </w:r>
      <w:r>
        <w:rPr>
          <w:rFonts w:eastAsia="等线" w:ascii="Arial" w:cs="Arial" w:hAnsi="Arial"/>
          <w:sz w:val="22"/>
        </w:rPr>
        <w:t xml:space="preserve"> column so users can see and post the real usage.</w:t>
      </w:r>
    </w:p>
    <w:p>
      <w:pPr>
        <w:numPr>
          <w:numId w:val="49"/>
        </w:numPr>
        <w:spacing w:before="120" w:after="120" w:line="288" w:lineRule="auto"/>
        <w:ind w:left="0"/>
        <w:jc w:val="left"/>
      </w:pPr>
      <w:r>
        <w:rPr>
          <w:rFonts w:eastAsia="等线" w:ascii="Arial" w:cs="Arial" w:hAnsi="Arial"/>
          <w:sz w:val="22"/>
        </w:rPr>
        <w:t xml:space="preserve">The BOM (and/or Assembly Order) says for finished good </w:t>
      </w:r>
      <w:r>
        <w:rPr>
          <w:rFonts w:eastAsia="等线" w:ascii="Arial" w:cs="Arial" w:hAnsi="Arial"/>
          <w:b w:val="true"/>
          <w:sz w:val="22"/>
        </w:rPr>
        <w:t>ST COMMERCE 384</w:t>
      </w:r>
      <w:r>
        <w:rPr>
          <w:rFonts w:eastAsia="等线" w:ascii="Arial" w:cs="Arial" w:hAnsi="Arial"/>
          <w:sz w:val="22"/>
        </w:rPr>
        <w:t xml:space="preserve"> they should use </w:t>
      </w:r>
      <w:r>
        <w:rPr>
          <w:rFonts w:eastAsia="等线" w:ascii="Arial" w:cs="Arial" w:hAnsi="Arial"/>
          <w:b w:val="true"/>
          <w:sz w:val="22"/>
        </w:rPr>
        <w:t>2,227.000</w:t>
      </w:r>
      <w:r>
        <w:rPr>
          <w:rFonts w:eastAsia="等线" w:ascii="Arial" w:cs="Arial" w:hAnsi="Arial"/>
          <w:sz w:val="22"/>
        </w:rPr>
        <w:t xml:space="preserve"> units of component </w:t>
      </w:r>
      <w:r>
        <w:rPr>
          <w:rFonts w:eastAsia="等线" w:ascii="Arial" w:cs="Arial" w:hAnsi="Arial"/>
          <w:b w:val="true"/>
          <w:sz w:val="22"/>
        </w:rPr>
        <w:t>LP ST COMMERCE 384</w:t>
      </w:r>
      <w:r>
        <w:rPr>
          <w:rFonts w:eastAsia="等线" w:ascii="Arial" w:cs="Arial" w:hAnsi="Arial"/>
          <w:sz w:val="22"/>
        </w:rPr>
        <w:t xml:space="preserve"> (Order Qty = 2,227.000).</w:t>
      </w:r>
    </w:p>
    <w:p>
      <w:pPr>
        <w:numPr>
          <w:numId w:val="50"/>
        </w:numPr>
        <w:spacing w:before="120" w:after="120" w:line="288" w:lineRule="auto"/>
        <w:ind w:left="0"/>
        <w:jc w:val="left"/>
      </w:pPr>
      <w:r>
        <w:rPr>
          <w:rFonts w:eastAsia="等线" w:ascii="Arial" w:cs="Arial" w:hAnsi="Arial"/>
          <w:sz w:val="22"/>
        </w:rPr>
        <w:t xml:space="preserve">In reality, they only consume </w:t>
      </w:r>
      <w:r>
        <w:rPr>
          <w:rFonts w:eastAsia="等线" w:ascii="Arial" w:cs="Arial" w:hAnsi="Arial"/>
          <w:b w:val="true"/>
          <w:sz w:val="22"/>
        </w:rPr>
        <w:t>2,000.000</w:t>
      </w:r>
      <w:r>
        <w:rPr>
          <w:rFonts w:eastAsia="等线" w:ascii="Arial" w:cs="Arial" w:hAnsi="Arial"/>
          <w:sz w:val="22"/>
        </w:rPr>
        <w:t xml:space="preserve"> units (Qty = 2,000.000). AutoCount auto‑calculates </w:t>
      </w:r>
      <w:r>
        <w:rPr>
          <w:rFonts w:eastAsia="等线" w:ascii="Arial" w:cs="Arial" w:hAnsi="Arial"/>
          <w:b w:val="true"/>
          <w:sz w:val="22"/>
        </w:rPr>
        <w:t>Variance Qty = 2,000.000 − 2,227.000 = −227.000</w:t>
      </w:r>
      <w:r>
        <w:rPr>
          <w:rFonts w:eastAsia="等线" w:ascii="Arial" w:cs="Arial" w:hAnsi="Arial"/>
          <w:sz w:val="22"/>
        </w:rPr>
        <w:t xml:space="preserve">, which appears as </w:t>
      </w:r>
      <w:r>
        <w:rPr>
          <w:rFonts w:eastAsia="等线" w:ascii="Arial" w:cs="Arial" w:hAnsi="Arial"/>
          <w:b w:val="true"/>
          <w:sz w:val="22"/>
        </w:rPr>
        <w:t>−227.000</w:t>
      </w:r>
      <w:r>
        <w:rPr>
          <w:rFonts w:eastAsia="等线" w:ascii="Arial" w:cs="Arial" w:hAnsi="Arial"/>
          <w:sz w:val="22"/>
        </w:rPr>
        <w:t xml:space="preserve"> in the grid for that line.</w:t>
      </w:r>
    </w:p>
    <w:p>
      <w:pPr>
        <w:numPr>
          <w:numId w:val="51"/>
        </w:numPr>
        <w:spacing w:before="120" w:after="120" w:line="288" w:lineRule="auto"/>
        <w:ind w:left="0"/>
        <w:jc w:val="left"/>
      </w:pPr>
      <w:r>
        <w:rPr>
          <w:rFonts w:eastAsia="等线" w:ascii="Arial" w:cs="Arial" w:hAnsi="Arial"/>
          <w:sz w:val="22"/>
        </w:rPr>
        <w:t xml:space="preserve">The system still calculates </w:t>
      </w:r>
      <w:r>
        <w:rPr>
          <w:rFonts w:eastAsia="等线" w:ascii="Arial" w:cs="Arial" w:hAnsi="Arial"/>
          <w:b w:val="true"/>
          <w:sz w:val="22"/>
        </w:rPr>
        <w:t>SubTotal</w:t>
      </w:r>
      <w:r>
        <w:rPr>
          <w:rFonts w:eastAsia="等线" w:ascii="Arial" w:cs="Arial" w:hAnsi="Arial"/>
          <w:sz w:val="22"/>
        </w:rPr>
        <w:t xml:space="preserve"> and </w:t>
      </w:r>
      <w:r>
        <w:rPr>
          <w:rFonts w:eastAsia="等线" w:ascii="Arial" w:cs="Arial" w:hAnsi="Arial"/>
          <w:b w:val="true"/>
          <w:sz w:val="22"/>
        </w:rPr>
        <w:t>Total Cost</w:t>
      </w:r>
      <w:r>
        <w:rPr>
          <w:rFonts w:eastAsia="等线" w:ascii="Arial" w:cs="Arial" w:hAnsi="Arial"/>
          <w:sz w:val="22"/>
        </w:rPr>
        <w:t xml:space="preserve"> based on the actual Qty of 2,000.000 × Item Cost 0.696667, giving Total Cost / Net Total Cost of 1,393.334 at the bottom; this means cost is aligned with what they really used, not the original planned quantity.</w:t>
      </w:r>
    </w:p>
    <w:p>
      <w:pPr>
        <w:spacing w:before="120" w:after="120" w:line="288" w:lineRule="auto"/>
        <w:ind w:left="0"/>
        <w:jc w:val="left"/>
      </w:pPr>
      <w:r>
        <w:rPr>
          <w:rFonts w:eastAsia="等线" w:ascii="Arial" w:cs="Arial" w:hAnsi="Arial"/>
          <w:sz w:val="22"/>
        </w:rPr>
        <w:t>So the typical user workflow is:</w:t>
      </w:r>
    </w:p>
    <w:p>
      <w:pPr>
        <w:numPr>
          <w:numId w:val="52"/>
        </w:numPr>
        <w:spacing w:before="120" w:after="120" w:line="288" w:lineRule="auto"/>
        <w:ind w:left="0"/>
        <w:jc w:val="left"/>
      </w:pPr>
      <w:r>
        <w:rPr>
          <w:rFonts w:eastAsia="等线" w:ascii="Arial" w:cs="Arial" w:hAnsi="Arial"/>
          <w:sz w:val="22"/>
        </w:rPr>
        <w:t xml:space="preserve">Start from BOM/Assembly Order → system fills </w:t>
      </w:r>
      <w:r>
        <w:rPr>
          <w:rFonts w:eastAsia="等线" w:ascii="Arial" w:cs="Arial" w:hAnsi="Arial"/>
          <w:b w:val="true"/>
          <w:sz w:val="22"/>
        </w:rPr>
        <w:t>Order Qty</w:t>
      </w:r>
      <w:r>
        <w:rPr>
          <w:rFonts w:eastAsia="等线" w:ascii="Arial" w:cs="Arial" w:hAnsi="Arial"/>
          <w:sz w:val="22"/>
        </w:rPr>
        <w:t>.</w:t>
      </w:r>
    </w:p>
    <w:p>
      <w:pPr>
        <w:numPr>
          <w:numId w:val="53"/>
        </w:numPr>
        <w:spacing w:before="120" w:after="120" w:line="288" w:lineRule="auto"/>
        <w:ind w:left="0"/>
        <w:jc w:val="left"/>
      </w:pPr>
      <w:r>
        <w:rPr>
          <w:rFonts w:eastAsia="等线" w:ascii="Arial" w:cs="Arial" w:hAnsi="Arial"/>
          <w:sz w:val="22"/>
        </w:rPr>
        <w:t xml:space="preserve">On production completion, user edits </w:t>
      </w:r>
      <w:r>
        <w:rPr>
          <w:rFonts w:eastAsia="等线" w:ascii="Arial" w:cs="Arial" w:hAnsi="Arial"/>
          <w:b w:val="true"/>
          <w:sz w:val="22"/>
        </w:rPr>
        <w:t>Qty</w:t>
      </w:r>
      <w:r>
        <w:rPr>
          <w:rFonts w:eastAsia="等线" w:ascii="Arial" w:cs="Arial" w:hAnsi="Arial"/>
          <w:sz w:val="22"/>
        </w:rPr>
        <w:t xml:space="preserve"> to match actual consumption (here 2,000.000 instead of 2,227.000).</w:t>
      </w:r>
    </w:p>
    <w:p>
      <w:pPr>
        <w:numPr>
          <w:numId w:val="54"/>
        </w:numPr>
        <w:spacing w:before="120" w:after="120" w:line="288" w:lineRule="auto"/>
        <w:ind w:left="0"/>
        <w:jc w:val="left"/>
      </w:pPr>
      <w:r>
        <w:rPr>
          <w:rFonts w:eastAsia="等线" w:ascii="Arial" w:cs="Arial" w:hAnsi="Arial"/>
          <w:sz w:val="22"/>
        </w:rPr>
        <w:t xml:space="preserve">AutoCount computes </w:t>
      </w:r>
      <w:r>
        <w:rPr>
          <w:rFonts w:eastAsia="等线" w:ascii="Arial" w:cs="Arial" w:hAnsi="Arial"/>
          <w:b w:val="true"/>
          <w:sz w:val="22"/>
        </w:rPr>
        <w:t>Variance Qty</w:t>
      </w:r>
      <w:r>
        <w:rPr>
          <w:rFonts w:eastAsia="等线" w:ascii="Arial" w:cs="Arial" w:hAnsi="Arial"/>
          <w:sz w:val="22"/>
        </w:rPr>
        <w:t xml:space="preserve"> and cost based on actual Qty; user posts the Stock Assembly, which updates stock and cost and keeps the variance visible for review or reporting.</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 </w:t>
      </w:r>
      <w:r>
        <w:rPr>
          <w:rFonts w:eastAsia="等线" w:ascii="Arial" w:cs="Arial" w:hAnsi="Arial"/>
          <w:b w:val="true"/>
          <w:sz w:val="32"/>
        </w:rPr>
        <w:t>Volumetric (m³) Field on Delivery Note PDF</w:t>
      </w:r>
      <w:bookmarkEnd w:id="13"/>
    </w:p>
    <w:p>
      <w:pPr>
        <w:spacing w:before="120" w:after="120" w:line="288" w:lineRule="auto"/>
        <w:ind w:left="0"/>
        <w:jc w:val="left"/>
      </w:pPr>
      <w:r>
        <w:rPr>
          <w:rFonts w:eastAsia="等线" w:ascii="Arial" w:cs="Arial" w:hAnsi="Arial"/>
          <w:sz w:val="22"/>
        </w:rPr>
        <w:t>Volumetric (m³) field required on the Delivery Note. Item weight and volume stored as master data per SKU in AutoCount. MAIA syncs these fields and surfaces volumetric calculations on the Delivery Note and its PDF output. How much load can fit into the lorry?</w:t>
      </w:r>
    </w:p>
    <w:p>
      <w:pPr>
        <w:pStyle w:val="3"/>
        <w:spacing w:before="300" w:after="120" w:line="288" w:lineRule="auto"/>
        <w:ind w:left="0"/>
        <w:jc w:val="left"/>
        <w:outlineLvl w:val="2"/>
      </w:pPr>
      <w:bookmarkStart w:name="heading_14" w:id="14"/>
      <w:r>
        <w:rPr>
          <w:rFonts w:eastAsia="等线" w:ascii="Arial" w:cs="Arial" w:hAnsi="Arial"/>
          <w:b w:val="true"/>
          <w:sz w:val="30"/>
        </w:rPr>
        <w:t>4.1 AutoCount Weight and Volume Sync Extension</w:t>
      </w:r>
      <w:bookmarkEnd w:id="14"/>
    </w:p>
    <w:p>
      <w:pPr>
        <w:numPr>
          <w:numId w:val="55"/>
        </w:num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AutoCount integration layer (extending the existing item master sync)</w:t>
      </w:r>
    </w:p>
    <w:p>
      <w:pPr>
        <w:numPr>
          <w:numId w:val="56"/>
        </w:numPr>
        <w:spacing w:before="120" w:after="120" w:line="288" w:lineRule="auto"/>
        <w:ind w:left="0"/>
        <w:jc w:val="left"/>
      </w:pPr>
      <w:r>
        <w:rPr>
          <w:rFonts w:eastAsia="等线" w:ascii="Arial" w:cs="Arial" w:hAnsi="Arial"/>
          <w:b w:val="true"/>
          <w:sz w:val="22"/>
        </w:rPr>
        <w:t>Features:</w:t>
      </w:r>
    </w:p>
    <w:p>
      <w:pPr>
        <w:numPr>
          <w:numId w:val="57"/>
        </w:numPr>
        <w:spacing w:before="120" w:after="120" w:line="288" w:lineRule="auto"/>
        <w:ind w:left="453"/>
        <w:jc w:val="left"/>
      </w:pPr>
      <w:r>
        <w:rPr>
          <w:rFonts w:eastAsia="等线" w:ascii="Arial" w:cs="Arial" w:hAnsi="Arial"/>
          <w:b w:val="true"/>
          <w:sz w:val="22"/>
        </w:rPr>
        <w:t>Weight and Volume Field Sync:</w:t>
      </w:r>
      <w:r>
        <w:rPr>
          <w:rFonts w:eastAsia="等线" w:ascii="Arial" w:cs="Arial" w:hAnsi="Arial"/>
          <w:sz w:val="22"/>
        </w:rPr>
        <w:t xml:space="preserve"> Extend the AutoCount item master sync to include weight, volume, volume UOM, and volume per unit fields stored per SKU in Stock Item.</w:t>
      </w:r>
    </w:p>
    <w:p>
      <w:pPr>
        <w:pStyle w:val="3"/>
        <w:spacing w:before="300" w:after="120" w:line="288" w:lineRule="auto"/>
        <w:ind w:left="0"/>
        <w:jc w:val="left"/>
        <w:outlineLvl w:val="2"/>
      </w:pPr>
      <w:bookmarkStart w:name="heading_15" w:id="15"/>
      <w:r>
        <w:rPr>
          <w:rFonts w:eastAsia="等线" w:ascii="Arial" w:cs="Arial" w:hAnsi="Arial"/>
          <w:b w:val="true"/>
          <w:sz w:val="30"/>
        </w:rPr>
        <w:t>4.2 Delivery Note Volumetric Update</w:t>
      </w:r>
      <w:bookmarkEnd w:id="15"/>
    </w:p>
    <w:p>
      <w:pPr>
        <w:numPr>
          <w:numId w:val="58"/>
        </w:numPr>
        <w:spacing w:before="120" w:after="120" w:line="288" w:lineRule="auto"/>
        <w:ind w:left="0"/>
        <w:jc w:val="left"/>
      </w:pPr>
      <w:r>
        <w:rPr>
          <w:rFonts w:eastAsia="等线" w:ascii="Arial" w:cs="Arial" w:hAnsi="Arial"/>
          <w:b w:val="true"/>
          <w:sz w:val="22"/>
        </w:rPr>
        <w:t>Document:</w:t>
      </w:r>
      <w:r>
        <w:rPr>
          <w:rFonts w:eastAsia="等线" w:ascii="Arial" w:cs="Arial" w:hAnsi="Arial"/>
          <w:sz w:val="22"/>
        </w:rPr>
        <w:t xml:space="preserve"> Delivery Note (document and PDF output)</w:t>
      </w:r>
    </w:p>
    <w:p>
      <w:pPr>
        <w:numPr>
          <w:numId w:val="59"/>
        </w:numPr>
        <w:spacing w:before="120" w:after="120" w:line="288" w:lineRule="auto"/>
        <w:ind w:left="0"/>
        <w:jc w:val="left"/>
      </w:pPr>
      <w:r>
        <w:rPr>
          <w:rFonts w:eastAsia="等线" w:ascii="Arial" w:cs="Arial" w:hAnsi="Arial"/>
          <w:b w:val="true"/>
          <w:sz w:val="22"/>
        </w:rPr>
        <w:t>Features:</w:t>
      </w:r>
    </w:p>
    <w:p>
      <w:pPr>
        <w:numPr>
          <w:numId w:val="60"/>
        </w:numPr>
        <w:spacing w:before="120" w:after="120" w:line="288" w:lineRule="auto"/>
        <w:ind w:left="453"/>
        <w:jc w:val="left"/>
      </w:pPr>
      <w:r>
        <w:rPr>
          <w:rFonts w:eastAsia="等线" w:ascii="Arial" w:cs="Arial" w:hAnsi="Arial"/>
          <w:b w:val="true"/>
          <w:sz w:val="22"/>
        </w:rPr>
        <w:t>Volumetric Line Column:</w:t>
      </w:r>
      <w:r>
        <w:rPr>
          <w:rFonts w:eastAsia="等线" w:ascii="Arial" w:cs="Arial" w:hAnsi="Arial"/>
          <w:sz w:val="22"/>
        </w:rPr>
        <w:t xml:space="preserve"> Display </w:t>
      </w:r>
      <w:r>
        <w:rPr>
          <w:rFonts w:eastAsia="Consolas" w:ascii="Consolas" w:cs="Consolas" w:hAnsi="Consolas"/>
          <w:sz w:val="22"/>
          <w:shd w:fill="EFF0F1"/>
        </w:rPr>
        <w:t>qty × item volume</w:t>
      </w:r>
      <w:r>
        <w:rPr>
          <w:rFonts w:eastAsia="等线" w:ascii="Arial" w:cs="Arial" w:hAnsi="Arial"/>
          <w:sz w:val="22"/>
        </w:rPr>
        <w:t xml:space="preserve"> per Delivery Note line item, mirroring the AutoCount "IAM Delivery Order" formula field logic.</w:t>
      </w:r>
    </w:p>
    <w:p>
      <w:pPr>
        <w:numPr>
          <w:numId w:val="61"/>
        </w:numPr>
        <w:spacing w:before="120" w:after="120" w:line="288" w:lineRule="auto"/>
        <w:ind w:left="453"/>
        <w:jc w:val="left"/>
      </w:pPr>
      <w:r>
        <w:rPr>
          <w:rFonts w:eastAsia="等线" w:ascii="Arial" w:cs="Arial" w:hAnsi="Arial"/>
          <w:b w:val="true"/>
          <w:sz w:val="22"/>
        </w:rPr>
        <w:t>Volumetric Total:</w:t>
      </w:r>
      <w:r>
        <w:rPr>
          <w:rFonts w:eastAsia="等线" w:ascii="Arial" w:cs="Arial" w:hAnsi="Arial"/>
          <w:sz w:val="22"/>
        </w:rPr>
        <w:t xml:space="preserve"> Aggregate line-level volumetric values into a total on the Delivery Note.</w:t>
      </w:r>
    </w:p>
    <w:p>
      <w:pPr>
        <w:numPr>
          <w:numId w:val="62"/>
        </w:numPr>
        <w:spacing w:before="120" w:after="120" w:line="288" w:lineRule="auto"/>
        <w:ind w:left="453"/>
        <w:jc w:val="left"/>
      </w:pPr>
      <w:r>
        <w:rPr>
          <w:rFonts w:eastAsia="等线" w:ascii="Arial" w:cs="Arial" w:hAnsi="Arial"/>
          <w:b w:val="true"/>
          <w:sz w:val="22"/>
        </w:rPr>
        <w:t>PDF Output:</w:t>
      </w:r>
      <w:r>
        <w:rPr>
          <w:rFonts w:eastAsia="等线" w:ascii="Arial" w:cs="Arial" w:hAnsi="Arial"/>
          <w:sz w:val="22"/>
        </w:rPr>
        <w:t xml:space="preserve"> Volumetric fields, including volume and volume UOM, are surfaced on the Delivery Note PDF. Output is rendered via IAM's AutoCount PDF template.</w:t>
      </w:r>
    </w:p>
    <w:p>
      <w:pPr>
        <w:pStyle w:val="2"/>
        <w:spacing w:before="320" w:after="120" w:line="288" w:lineRule="auto"/>
        <w:ind w:left="0"/>
        <w:jc w:val="left"/>
        <w:outlineLvl w:val="1"/>
      </w:pPr>
      <w:bookmarkStart w:name="heading_16" w:id="16"/>
      <w:r>
        <w:rPr>
          <w:rFonts w:eastAsia="等线" w:ascii="Arial" w:cs="Arial" w:hAnsi="Arial"/>
          <w:b w:val="true"/>
          <w:sz w:val="32"/>
        </w:rPr>
        <w:t>Summary Table</w:t>
      </w:r>
      <w:bookmarkEnd w:id="1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2pt;mso-width-percent:0;mso-height-percent:0;mso-width-percent:0;mso-height-percent:0" type="#_x0000_t75" o:ole="">
            <v:imagedata r:id="rId14" o:title=""/>
          </v:shape>
          <o:OLEObject DrawAspect="Icon" ObjectID="_1718471219" ProgID="Excel.Sheet.12" ShapeID="_x0000_i1025" Type="Embed" r:id="rId1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2191">
    <w:lvl>
      <w:numFmt w:val="bullet"/>
      <w:suff w:val="tab"/>
      <w:lvlText w:val="•"/>
      <w:rPr>
        <w:color w:val="3370ff"/>
      </w:rPr>
    </w:lvl>
  </w:abstractNum>
  <w:abstractNum w:abstractNumId="242192">
    <w:lvl>
      <w:numFmt w:val="bullet"/>
      <w:suff w:val="tab"/>
      <w:lvlText w:val="•"/>
      <w:rPr>
        <w:color w:val="3370ff"/>
      </w:rPr>
    </w:lvl>
  </w:abstractNum>
  <w:abstractNum w:abstractNumId="242193">
    <w:lvl>
      <w:numFmt w:val="bullet"/>
      <w:suff w:val="tab"/>
      <w:lvlText w:val="￮"/>
      <w:rPr>
        <w:color w:val="3370ff"/>
      </w:rPr>
    </w:lvl>
  </w:abstractNum>
  <w:abstractNum w:abstractNumId="242194">
    <w:lvl>
      <w:numFmt w:val="bullet"/>
      <w:suff w:val="tab"/>
      <w:lvlText w:val="￮"/>
      <w:rPr>
        <w:color w:val="3370ff"/>
      </w:rPr>
    </w:lvl>
  </w:abstractNum>
  <w:abstractNum w:abstractNumId="242195">
    <w:lvl>
      <w:numFmt w:val="bullet"/>
      <w:suff w:val="tab"/>
      <w:lvlText w:val="￮"/>
      <w:rPr>
        <w:color w:val="3370ff"/>
      </w:rPr>
    </w:lvl>
  </w:abstractNum>
  <w:abstractNum w:abstractNumId="242196">
    <w:lvl>
      <w:numFmt w:val="bullet"/>
      <w:suff w:val="tab"/>
      <w:lvlText w:val="￮"/>
      <w:rPr>
        <w:color w:val="3370ff"/>
      </w:rPr>
    </w:lvl>
  </w:abstractNum>
  <w:abstractNum w:abstractNumId="242197">
    <w:lvl>
      <w:numFmt w:val="bullet"/>
      <w:suff w:val="tab"/>
      <w:lvlText w:val="•"/>
      <w:rPr>
        <w:color w:val="3370ff"/>
      </w:rPr>
    </w:lvl>
  </w:abstractNum>
  <w:abstractNum w:abstractNumId="242198">
    <w:lvl>
      <w:numFmt w:val="bullet"/>
      <w:suff w:val="tab"/>
      <w:lvlText w:val="•"/>
      <w:rPr>
        <w:color w:val="3370ff"/>
      </w:rPr>
    </w:lvl>
  </w:abstractNum>
  <w:abstractNum w:abstractNumId="242199">
    <w:lvl>
      <w:numFmt w:val="bullet"/>
      <w:suff w:val="tab"/>
      <w:lvlText w:val="￮"/>
      <w:rPr>
        <w:color w:val="3370ff"/>
      </w:rPr>
    </w:lvl>
  </w:abstractNum>
  <w:abstractNum w:abstractNumId="242200">
    <w:lvl>
      <w:numFmt w:val="bullet"/>
      <w:suff w:val="tab"/>
      <w:lvlText w:val="•"/>
      <w:rPr>
        <w:color w:val="3370ff"/>
      </w:rPr>
    </w:lvl>
  </w:abstractNum>
  <w:abstractNum w:abstractNumId="242201">
    <w:lvl>
      <w:numFmt w:val="bullet"/>
      <w:suff w:val="tab"/>
      <w:lvlText w:val="•"/>
      <w:rPr>
        <w:color w:val="3370ff"/>
      </w:rPr>
    </w:lvl>
  </w:abstractNum>
  <w:abstractNum w:abstractNumId="242202">
    <w:lvl>
      <w:numFmt w:val="bullet"/>
      <w:suff w:val="tab"/>
      <w:lvlText w:val="￮"/>
      <w:rPr>
        <w:color w:val="3370ff"/>
      </w:rPr>
    </w:lvl>
  </w:abstractNum>
  <w:abstractNum w:abstractNumId="242203">
    <w:lvl>
      <w:numFmt w:val="bullet"/>
      <w:suff w:val="tab"/>
      <w:lvlText w:val="•"/>
      <w:rPr>
        <w:color w:val="3370ff"/>
      </w:rPr>
    </w:lvl>
  </w:abstractNum>
  <w:abstractNum w:abstractNumId="242204">
    <w:lvl>
      <w:numFmt w:val="bullet"/>
      <w:suff w:val="tab"/>
      <w:lvlText w:val="•"/>
      <w:rPr>
        <w:color w:val="3370ff"/>
      </w:rPr>
    </w:lvl>
  </w:abstractNum>
  <w:abstractNum w:abstractNumId="242205">
    <w:lvl>
      <w:numFmt w:val="bullet"/>
      <w:suff w:val="tab"/>
      <w:lvlText w:val="￮"/>
      <w:rPr>
        <w:color w:val="3370ff"/>
      </w:rPr>
    </w:lvl>
  </w:abstractNum>
  <w:abstractNum w:abstractNumId="242206">
    <w:lvl>
      <w:numFmt w:val="bullet"/>
      <w:suff w:val="tab"/>
      <w:lvlText w:val="•"/>
      <w:rPr>
        <w:color w:val="3370ff"/>
      </w:rPr>
    </w:lvl>
  </w:abstractNum>
  <w:abstractNum w:abstractNumId="242207">
    <w:lvl>
      <w:numFmt w:val="bullet"/>
      <w:suff w:val="tab"/>
      <w:lvlText w:val="•"/>
      <w:rPr>
        <w:color w:val="3370ff"/>
      </w:rPr>
    </w:lvl>
  </w:abstractNum>
  <w:abstractNum w:abstractNumId="242208">
    <w:lvl>
      <w:numFmt w:val="bullet"/>
      <w:suff w:val="tab"/>
      <w:lvlText w:val="￮"/>
      <w:rPr>
        <w:color w:val="3370ff"/>
      </w:rPr>
    </w:lvl>
  </w:abstractNum>
  <w:abstractNum w:abstractNumId="242209">
    <w:lvl>
      <w:numFmt w:val="bullet"/>
      <w:suff w:val="tab"/>
      <w:lvlText w:val="￮"/>
      <w:rPr>
        <w:color w:val="3370ff"/>
      </w:rPr>
    </w:lvl>
  </w:abstractNum>
  <w:abstractNum w:abstractNumId="242210">
    <w:lvl>
      <w:numFmt w:val="bullet"/>
      <w:suff w:val="tab"/>
      <w:lvlText w:val="￮"/>
      <w:rPr>
        <w:color w:val="3370ff"/>
      </w:rPr>
    </w:lvl>
  </w:abstractNum>
  <w:abstractNum w:abstractNumId="242211">
    <w:lvl>
      <w:numFmt w:val="bullet"/>
      <w:suff w:val="tab"/>
      <w:lvlText w:val="￮"/>
      <w:rPr>
        <w:color w:val="3370ff"/>
      </w:rPr>
    </w:lvl>
  </w:abstractNum>
  <w:abstractNum w:abstractNumId="242212">
    <w:lvl>
      <w:numFmt w:val="bullet"/>
      <w:suff w:val="tab"/>
      <w:lvlText w:val="•"/>
      <w:rPr>
        <w:color w:val="3370ff"/>
      </w:rPr>
    </w:lvl>
  </w:abstractNum>
  <w:abstractNum w:abstractNumId="242213">
    <w:lvl>
      <w:numFmt w:val="bullet"/>
      <w:suff w:val="tab"/>
      <w:lvlText w:val="•"/>
      <w:rPr>
        <w:color w:val="3370ff"/>
      </w:rPr>
    </w:lvl>
  </w:abstractNum>
  <w:abstractNum w:abstractNumId="242214">
    <w:lvl>
      <w:numFmt w:val="bullet"/>
      <w:suff w:val="tab"/>
      <w:lvlText w:val="￮"/>
      <w:rPr>
        <w:color w:val="3370ff"/>
      </w:rPr>
    </w:lvl>
  </w:abstractNum>
  <w:abstractNum w:abstractNumId="242215">
    <w:lvl>
      <w:numFmt w:val="bullet"/>
      <w:suff w:val="tab"/>
      <w:lvlText w:val="￮"/>
      <w:rPr>
        <w:color w:val="3370ff"/>
      </w:rPr>
    </w:lvl>
  </w:abstractNum>
  <w:abstractNum w:abstractNumId="242216">
    <w:lvl>
      <w:numFmt w:val="bullet"/>
      <w:suff w:val="tab"/>
      <w:lvlText w:val="￮"/>
      <w:rPr>
        <w:color w:val="3370ff"/>
      </w:rPr>
    </w:lvl>
  </w:abstractNum>
  <w:abstractNum w:abstractNumId="242217">
    <w:lvl>
      <w:numFmt w:val="bullet"/>
      <w:suff w:val="tab"/>
      <w:lvlText w:val="￮"/>
      <w:rPr>
        <w:color w:val="3370ff"/>
      </w:rPr>
    </w:lvl>
  </w:abstractNum>
  <w:abstractNum w:abstractNumId="242218">
    <w:lvl>
      <w:numFmt w:val="bullet"/>
      <w:suff w:val="tab"/>
      <w:lvlText w:val="￮"/>
      <w:rPr>
        <w:color w:val="3370ff"/>
      </w:rPr>
    </w:lvl>
  </w:abstractNum>
  <w:abstractNum w:abstractNumId="242219">
    <w:lvl>
      <w:numFmt w:val="bullet"/>
      <w:suff w:val="tab"/>
      <w:lvlText w:val="￮"/>
      <w:rPr>
        <w:color w:val="3370ff"/>
      </w:rPr>
    </w:lvl>
  </w:abstractNum>
  <w:abstractNum w:abstractNumId="242220">
    <w:lvl>
      <w:numFmt w:val="bullet"/>
      <w:suff w:val="tab"/>
      <w:lvlText w:val="￮"/>
      <w:rPr>
        <w:color w:val="3370ff"/>
      </w:rPr>
    </w:lvl>
  </w:abstractNum>
  <w:abstractNum w:abstractNumId="242221">
    <w:lvl>
      <w:numFmt w:val="bullet"/>
      <w:suff w:val="tab"/>
      <w:lvlText w:val="•"/>
      <w:rPr>
        <w:color w:val="3370ff"/>
      </w:rPr>
    </w:lvl>
  </w:abstractNum>
  <w:abstractNum w:abstractNumId="242222">
    <w:lvl>
      <w:numFmt w:val="bullet"/>
      <w:suff w:val="tab"/>
      <w:lvlText w:val="•"/>
      <w:rPr>
        <w:color w:val="3370ff"/>
      </w:rPr>
    </w:lvl>
  </w:abstractNum>
  <w:abstractNum w:abstractNumId="242223">
    <w:lvl>
      <w:numFmt w:val="bullet"/>
      <w:suff w:val="tab"/>
      <w:lvlText w:val="•"/>
      <w:rPr>
        <w:color w:val="3370ff"/>
      </w:rPr>
    </w:lvl>
  </w:abstractNum>
  <w:abstractNum w:abstractNumId="242224">
    <w:lvl>
      <w:numFmt w:val="bullet"/>
      <w:suff w:val="tab"/>
      <w:lvlText w:val="•"/>
      <w:rPr>
        <w:color w:val="3370ff"/>
      </w:rPr>
    </w:lvl>
  </w:abstractNum>
  <w:abstractNum w:abstractNumId="242225">
    <w:lvl>
      <w:numFmt w:val="bullet"/>
      <w:suff w:val="tab"/>
      <w:lvlText w:val="•"/>
      <w:rPr>
        <w:color w:val="3370ff"/>
      </w:rPr>
    </w:lvl>
  </w:abstractNum>
  <w:abstractNum w:abstractNumId="242226">
    <w:lvl>
      <w:numFmt w:val="bullet"/>
      <w:suff w:val="tab"/>
      <w:lvlText w:val="•"/>
      <w:rPr>
        <w:color w:val="3370ff"/>
      </w:rPr>
    </w:lvl>
  </w:abstractNum>
  <w:abstractNum w:abstractNumId="242227">
    <w:lvl>
      <w:numFmt w:val="bullet"/>
      <w:suff w:val="tab"/>
      <w:lvlText w:val="•"/>
      <w:rPr>
        <w:color w:val="3370ff"/>
      </w:rPr>
    </w:lvl>
  </w:abstractNum>
  <w:abstractNum w:abstractNumId="242228">
    <w:lvl>
      <w:numFmt w:val="bullet"/>
      <w:suff w:val="tab"/>
      <w:lvlText w:val="•"/>
      <w:rPr>
        <w:color w:val="3370ff"/>
      </w:rPr>
    </w:lvl>
  </w:abstractNum>
  <w:abstractNum w:abstractNumId="242229">
    <w:lvl>
      <w:numFmt w:val="bullet"/>
      <w:suff w:val="tab"/>
      <w:lvlText w:val="•"/>
      <w:rPr>
        <w:color w:val="3370ff"/>
      </w:rPr>
    </w:lvl>
  </w:abstractNum>
  <w:abstractNum w:abstractNumId="242230">
    <w:lvl>
      <w:numFmt w:val="bullet"/>
      <w:suff w:val="tab"/>
      <w:lvlText w:val="•"/>
      <w:rPr>
        <w:color w:val="3370ff"/>
      </w:rPr>
    </w:lvl>
  </w:abstractNum>
  <w:abstractNum w:abstractNumId="242231">
    <w:lvl>
      <w:numFmt w:val="bullet"/>
      <w:suff w:val="tab"/>
      <w:lvlText w:val="•"/>
      <w:rPr>
        <w:color w:val="3370ff"/>
      </w:rPr>
    </w:lvl>
  </w:abstractNum>
  <w:abstractNum w:abstractNumId="242232">
    <w:lvl>
      <w:numFmt w:val="bullet"/>
      <w:suff w:val="tab"/>
      <w:lvlText w:val="•"/>
      <w:rPr>
        <w:color w:val="3370ff"/>
      </w:rPr>
    </w:lvl>
  </w:abstractNum>
  <w:abstractNum w:abstractNumId="242233">
    <w:lvl>
      <w:numFmt w:val="bullet"/>
      <w:suff w:val="tab"/>
      <w:lvlText w:val="•"/>
      <w:rPr>
        <w:color w:val="3370ff"/>
      </w:rPr>
    </w:lvl>
  </w:abstractNum>
  <w:abstractNum w:abstractNumId="242234">
    <w:lvl>
      <w:numFmt w:val="bullet"/>
      <w:suff w:val="tab"/>
      <w:lvlText w:val="•"/>
      <w:rPr>
        <w:color w:val="3370ff"/>
      </w:rPr>
    </w:lvl>
  </w:abstractNum>
  <w:abstractNum w:abstractNumId="242235">
    <w:lvl>
      <w:numFmt w:val="bullet"/>
      <w:suff w:val="tab"/>
      <w:lvlText w:val="•"/>
      <w:rPr>
        <w:color w:val="3370ff"/>
      </w:rPr>
    </w:lvl>
  </w:abstractNum>
  <w:abstractNum w:abstractNumId="242236">
    <w:lvl>
      <w:numFmt w:val="bullet"/>
      <w:suff w:val="tab"/>
      <w:lvlText w:val="•"/>
      <w:rPr>
        <w:color w:val="3370ff"/>
      </w:rPr>
    </w:lvl>
  </w:abstractNum>
  <w:abstractNum w:abstractNumId="242237">
    <w:lvl>
      <w:numFmt w:val="bullet"/>
      <w:suff w:val="tab"/>
      <w:lvlText w:val="•"/>
      <w:rPr>
        <w:color w:val="3370ff"/>
      </w:rPr>
    </w:lvl>
  </w:abstractNum>
  <w:abstractNum w:abstractNumId="242238">
    <w:lvl>
      <w:numFmt w:val="bullet"/>
      <w:suff w:val="tab"/>
      <w:lvlText w:val="•"/>
      <w:rPr>
        <w:color w:val="3370ff"/>
      </w:rPr>
    </w:lvl>
  </w:abstractNum>
  <w:abstractNum w:abstractNumId="242239">
    <w:lvl>
      <w:start w:val="1"/>
      <w:numFmt w:val="decimal"/>
      <w:suff w:val="tab"/>
      <w:lvlText w:val="%1."/>
      <w:rPr>
        <w:color w:val="3370ff"/>
      </w:rPr>
    </w:lvl>
  </w:abstractNum>
  <w:abstractNum w:abstractNumId="242240">
    <w:lvl>
      <w:start w:val="2"/>
      <w:numFmt w:val="decimal"/>
      <w:suff w:val="tab"/>
      <w:lvlText w:val="%1."/>
      <w:rPr>
        <w:color w:val="3370ff"/>
      </w:rPr>
    </w:lvl>
  </w:abstractNum>
  <w:abstractNum w:abstractNumId="242241">
    <w:lvl>
      <w:start w:val="3"/>
      <w:numFmt w:val="decimal"/>
      <w:suff w:val="tab"/>
      <w:lvlText w:val="%1."/>
      <w:rPr>
        <w:color w:val="3370ff"/>
      </w:rPr>
    </w:lvl>
  </w:abstractNum>
  <w:abstractNum w:abstractNumId="242242">
    <w:lvl>
      <w:numFmt w:val="bullet"/>
      <w:suff w:val="tab"/>
      <w:lvlText w:val="•"/>
      <w:rPr>
        <w:color w:val="3370ff"/>
      </w:rPr>
    </w:lvl>
  </w:abstractNum>
  <w:abstractNum w:abstractNumId="242243">
    <w:lvl>
      <w:numFmt w:val="bullet"/>
      <w:suff w:val="tab"/>
      <w:lvlText w:val="•"/>
      <w:rPr>
        <w:color w:val="3370ff"/>
      </w:rPr>
    </w:lvl>
  </w:abstractNum>
  <w:abstractNum w:abstractNumId="242244">
    <w:lvl>
      <w:numFmt w:val="bullet"/>
      <w:suff w:val="tab"/>
      <w:lvlText w:val="•"/>
      <w:rPr>
        <w:color w:val="3370ff"/>
      </w:rPr>
    </w:lvl>
  </w:abstractNum>
  <w:abstractNum w:abstractNumId="242245">
    <w:lvl>
      <w:numFmt w:val="bullet"/>
      <w:suff w:val="tab"/>
      <w:lvlText w:val="•"/>
      <w:rPr>
        <w:color w:val="3370ff"/>
      </w:rPr>
    </w:lvl>
  </w:abstractNum>
  <w:abstractNum w:abstractNumId="242246">
    <w:lvl>
      <w:numFmt w:val="bullet"/>
      <w:suff w:val="tab"/>
      <w:lvlText w:val="•"/>
      <w:rPr>
        <w:color w:val="3370ff"/>
      </w:rPr>
    </w:lvl>
  </w:abstractNum>
  <w:abstractNum w:abstractNumId="242247">
    <w:lvl>
      <w:numFmt w:val="bullet"/>
      <w:suff w:val="tab"/>
      <w:lvlText w:val="￮"/>
      <w:rPr>
        <w:color w:val="3370ff"/>
      </w:rPr>
    </w:lvl>
  </w:abstractNum>
  <w:abstractNum w:abstractNumId="242248">
    <w:lvl>
      <w:numFmt w:val="bullet"/>
      <w:suff w:val="tab"/>
      <w:lvlText w:val="•"/>
      <w:rPr>
        <w:color w:val="3370ff"/>
      </w:rPr>
    </w:lvl>
  </w:abstractNum>
  <w:abstractNum w:abstractNumId="242249">
    <w:lvl>
      <w:numFmt w:val="bullet"/>
      <w:suff w:val="tab"/>
      <w:lvlText w:val="•"/>
      <w:rPr>
        <w:color w:val="3370ff"/>
      </w:rPr>
    </w:lvl>
  </w:abstractNum>
  <w:abstractNum w:abstractNumId="242250">
    <w:lvl>
      <w:numFmt w:val="bullet"/>
      <w:suff w:val="tab"/>
      <w:lvlText w:val="￮"/>
      <w:rPr>
        <w:color w:val="3370ff"/>
      </w:rPr>
    </w:lvl>
  </w:abstractNum>
  <w:abstractNum w:abstractNumId="242251">
    <w:lvl>
      <w:numFmt w:val="bullet"/>
      <w:suff w:val="tab"/>
      <w:lvlText w:val="￮"/>
      <w:rPr>
        <w:color w:val="3370ff"/>
      </w:rPr>
    </w:lvl>
  </w:abstractNum>
  <w:abstractNum w:abstractNumId="242252">
    <w:lvl>
      <w:numFmt w:val="bullet"/>
      <w:suff w:val="tab"/>
      <w:lvlText w:val="￮"/>
      <w:rPr>
        <w:color w:val="3370ff"/>
      </w:rPr>
    </w:lvl>
  </w:abstractNum>
  <w:num w:numId="1">
    <w:abstractNumId w:val="242191"/>
  </w:num>
  <w:num w:numId="2">
    <w:abstractNumId w:val="242192"/>
  </w:num>
  <w:num w:numId="3">
    <w:abstractNumId w:val="242193"/>
  </w:num>
  <w:num w:numId="4">
    <w:abstractNumId w:val="242194"/>
  </w:num>
  <w:num w:numId="5">
    <w:abstractNumId w:val="242195"/>
  </w:num>
  <w:num w:numId="6">
    <w:abstractNumId w:val="242196"/>
  </w:num>
  <w:num w:numId="7">
    <w:abstractNumId w:val="242197"/>
  </w:num>
  <w:num w:numId="8">
    <w:abstractNumId w:val="242198"/>
  </w:num>
  <w:num w:numId="9">
    <w:abstractNumId w:val="242199"/>
  </w:num>
  <w:num w:numId="10">
    <w:abstractNumId w:val="242200"/>
  </w:num>
  <w:num w:numId="11">
    <w:abstractNumId w:val="242201"/>
  </w:num>
  <w:num w:numId="12">
    <w:abstractNumId w:val="242202"/>
  </w:num>
  <w:num w:numId="13">
    <w:abstractNumId w:val="242203"/>
  </w:num>
  <w:num w:numId="14">
    <w:abstractNumId w:val="242204"/>
  </w:num>
  <w:num w:numId="15">
    <w:abstractNumId w:val="242205"/>
  </w:num>
  <w:num w:numId="16">
    <w:abstractNumId w:val="242206"/>
  </w:num>
  <w:num w:numId="17">
    <w:abstractNumId w:val="242207"/>
  </w:num>
  <w:num w:numId="18">
    <w:abstractNumId w:val="242208"/>
  </w:num>
  <w:num w:numId="19">
    <w:abstractNumId w:val="242209"/>
  </w:num>
  <w:num w:numId="20">
    <w:abstractNumId w:val="242210"/>
  </w:num>
  <w:num w:numId="21">
    <w:abstractNumId w:val="242211"/>
  </w:num>
  <w:num w:numId="22">
    <w:abstractNumId w:val="242212"/>
  </w:num>
  <w:num w:numId="23">
    <w:abstractNumId w:val="242213"/>
  </w:num>
  <w:num w:numId="24">
    <w:abstractNumId w:val="242214"/>
  </w:num>
  <w:num w:numId="25">
    <w:abstractNumId w:val="242215"/>
  </w:num>
  <w:num w:numId="26">
    <w:abstractNumId w:val="242216"/>
  </w:num>
  <w:num w:numId="27">
    <w:abstractNumId w:val="242217"/>
  </w:num>
  <w:num w:numId="28">
    <w:abstractNumId w:val="242218"/>
  </w:num>
  <w:num w:numId="29">
    <w:abstractNumId w:val="242219"/>
  </w:num>
  <w:num w:numId="30">
    <w:abstractNumId w:val="242220"/>
  </w:num>
  <w:num w:numId="31">
    <w:abstractNumId w:val="242221"/>
  </w:num>
  <w:num w:numId="32">
    <w:abstractNumId w:val="242222"/>
  </w:num>
  <w:num w:numId="33">
    <w:abstractNumId w:val="242223"/>
  </w:num>
  <w:num w:numId="34">
    <w:abstractNumId w:val="242224"/>
  </w:num>
  <w:num w:numId="35">
    <w:abstractNumId w:val="242225"/>
  </w:num>
  <w:num w:numId="36">
    <w:abstractNumId w:val="242226"/>
  </w:num>
  <w:num w:numId="37">
    <w:abstractNumId w:val="242227"/>
  </w:num>
  <w:num w:numId="38">
    <w:abstractNumId w:val="242228"/>
  </w:num>
  <w:num w:numId="39">
    <w:abstractNumId w:val="242229"/>
  </w:num>
  <w:num w:numId="40">
    <w:abstractNumId w:val="242230"/>
  </w:num>
  <w:num w:numId="41">
    <w:abstractNumId w:val="242231"/>
  </w:num>
  <w:num w:numId="42">
    <w:abstractNumId w:val="242232"/>
  </w:num>
  <w:num w:numId="43">
    <w:abstractNumId w:val="242233"/>
  </w:num>
  <w:num w:numId="44">
    <w:abstractNumId w:val="242234"/>
  </w:num>
  <w:num w:numId="45">
    <w:abstractNumId w:val="242235"/>
  </w:num>
  <w:num w:numId="46">
    <w:abstractNumId w:val="242236"/>
  </w:num>
  <w:num w:numId="47">
    <w:abstractNumId w:val="242237"/>
  </w:num>
  <w:num w:numId="48">
    <w:abstractNumId w:val="242238"/>
  </w:num>
  <w:num w:numId="49">
    <w:abstractNumId w:val="242239"/>
  </w:num>
  <w:num w:numId="50">
    <w:abstractNumId w:val="242240"/>
  </w:num>
  <w:num w:numId="51">
    <w:abstractNumId w:val="242241"/>
  </w:num>
  <w:num w:numId="52">
    <w:abstractNumId w:val="242242"/>
  </w:num>
  <w:num w:numId="53">
    <w:abstractNumId w:val="242243"/>
  </w:num>
  <w:num w:numId="54">
    <w:abstractNumId w:val="242244"/>
  </w:num>
  <w:num w:numId="55">
    <w:abstractNumId w:val="242245"/>
  </w:num>
  <w:num w:numId="56">
    <w:abstractNumId w:val="242246"/>
  </w:num>
  <w:num w:numId="57">
    <w:abstractNumId w:val="242247"/>
  </w:num>
  <w:num w:numId="58">
    <w:abstractNumId w:val="242248"/>
  </w:num>
  <w:num w:numId="59">
    <w:abstractNumId w:val="242249"/>
  </w:num>
  <w:num w:numId="60">
    <w:abstractNumId w:val="242250"/>
  </w:num>
  <w:num w:numId="61">
    <w:abstractNumId w:val="242251"/>
  </w:num>
  <w:num w:numId="62">
    <w:abstractNumId w:val="2422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embeddings/Microsoft_Excel_Worksheet1.xlsx" Type="http://schemas.openxmlformats.org/officeDocument/2006/relationships/package"/><Relationship Id="rId14" Target="media/image8.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eg69120xnei.sg.larksuite.com/drive/folder/OY2qfRXc0llEwidX2ymlUpaPgmJ" TargetMode="External" Type="http://schemas.openxmlformats.org/officeDocument/2006/relationships/hyperlink"/><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2026-08-06T17:27:16Z</dcterms:created>
  <dc:creator>Apache POI</dc:creator>
</cp:coreProperties>
</file>