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Fixguru MAIA - Product Specification Baseline</w:t>
      </w:r>
      <w:r>
        <w:rPr>
          <w:rFonts w:eastAsia="等线" w:ascii="Arial" w:cs="Arial" w:hAnsi="Arial"/>
          <w:b w:val="true"/>
          <w:sz w:val="52"/>
        </w:rPr>
        <w:t xml:space="preserve"> (SOW)</w:t>
      </w:r>
    </w:p>
    <w:p>
      <w:pPr>
        <w:pStyle w:val="1"/>
        <w:spacing w:before="380" w:after="140" w:line="288" w:lineRule="auto"/>
        <w:ind w:left="0"/>
        <w:jc w:val="left"/>
        <w:outlineLvl w:val="0"/>
      </w:pPr>
      <w:bookmarkStart w:name="heading_0" w:id="0"/>
      <w:r>
        <w:rPr>
          <w:rFonts w:eastAsia="等线" w:ascii="Arial" w:cs="Arial" w:hAnsi="Arial"/>
          <w:b w:val="true"/>
          <w:sz w:val="36"/>
        </w:rPr>
        <w:t>Maia – Baseline Product Specification Document</w:t>
      </w:r>
      <w:bookmarkEnd w:id="0"/>
    </w:p>
    <w:p>
      <w:pPr>
        <w:spacing w:before="120" w:after="120" w:line="288" w:lineRule="auto"/>
        <w:ind w:left="0"/>
        <w:jc w:val="left"/>
      </w:pPr>
      <w:r>
        <w:rPr>
          <w:rFonts w:eastAsia="等线" w:ascii="Arial" w:cs="Arial" w:hAnsi="Arial"/>
          <w:sz w:val="22"/>
        </w:rPr>
        <w:t xml:space="preserve">The Services Agreement is made effective as of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1260"/>
        <w:gridCol w:w="5445"/>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BETWEEN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Vendor</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Mindhive Sdn Bhd </w:t>
            </w:r>
            <w:r>
              <w:rPr>
                <w:rFonts w:eastAsia="等线" w:ascii="Arial" w:cs="Arial" w:hAnsi="Arial"/>
                <w:sz w:val="22"/>
              </w:rPr>
              <w:t>(“Mindhive”), with its office located at 7, Jln Penyajak U1/45A, Hicom-glenmarie Industrial Park, 40150 Shah Alam, Selangor.</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IAM Worldwide Sdn Bhd </w:t>
            </w:r>
            <w:r>
              <w:rPr>
                <w:rFonts w:eastAsia="等线" w:ascii="Arial" w:cs="Arial" w:hAnsi="Arial"/>
                <w:sz w:val="22"/>
              </w:rPr>
              <w:t>(“Fixguru”), with its office located at 18931, Jalan Telok Gong, Kampung Telok Gong, 42000 Pelabuhan Klang, Selangor.</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Introduction</w:t>
      </w:r>
      <w:bookmarkEnd w:id="1"/>
    </w:p>
    <w:p>
      <w:pPr>
        <w:numPr>
          <w:numId w:val="1"/>
        </w:numPr>
        <w:spacing w:before="120" w:after="120" w:line="288" w:lineRule="auto"/>
        <w:ind w:left="0"/>
        <w:jc w:val="left"/>
      </w:pPr>
      <w:r>
        <w:rPr>
          <w:rFonts w:eastAsia="等线" w:ascii="Arial" w:cs="Arial" w:hAnsi="Arial"/>
          <w:b w:val="true"/>
          <w:sz w:val="22"/>
        </w:rPr>
        <w:t>About Maia</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MAIA is a next-generation business platform that unifies sales, fulfillment, communications, logistics, and finance into a single ecosystem.</w:t>
      </w:r>
    </w:p>
    <w:p>
      <w:pPr>
        <w:spacing w:before="120" w:after="120" w:line="288" w:lineRule="auto"/>
        <w:ind w:left="0"/>
        <w:jc w:val="left"/>
      </w:pPr>
      <w:r>
        <w:rPr>
          <w:rFonts w:eastAsia="等线" w:ascii="Arial" w:cs="Arial" w:hAnsi="Arial"/>
          <w:sz w:val="22"/>
        </w:rPr>
        <w:t xml:space="preserve">It is designed as a </w:t>
      </w:r>
      <w:r>
        <w:rPr>
          <w:rFonts w:eastAsia="等线" w:ascii="Arial" w:cs="Arial" w:hAnsi="Arial"/>
          <w:b w:val="true"/>
          <w:sz w:val="22"/>
        </w:rPr>
        <w:t>modular, cloud-based solution</w:t>
      </w:r>
      <w:r>
        <w:rPr>
          <w:rFonts w:eastAsia="等线" w:ascii="Arial" w:cs="Arial" w:hAnsi="Arial"/>
          <w:sz w:val="22"/>
        </w:rPr>
        <w:t xml:space="preserve"> where each module can function independently yet integrates seamlessly into the wider MAIA environment. This ensures flexibility for smaller businesses while delivering enterprise-level scalability and control.</w:t>
      </w:r>
    </w:p>
    <w:p>
      <w:pPr>
        <w:spacing w:before="120" w:after="120" w:line="288" w:lineRule="auto"/>
        <w:ind w:left="0"/>
        <w:jc w:val="left"/>
      </w:pPr>
      <w:r>
        <w:rPr>
          <w:rFonts w:eastAsia="等线" w:ascii="Arial" w:cs="Arial" w:hAnsi="Arial"/>
          <w:sz w:val="22"/>
        </w:rPr>
        <w:t>Our vision is to help organizations manage their entire sales and operational lifecycle from a single, intelligent system — increasing efficiency, improving customer engagement, and enabling growth.</w:t>
      </w:r>
    </w:p>
    <w:p>
      <w:pPr>
        <w:numPr>
          <w:numId w:val="2"/>
        </w:numPr>
        <w:spacing w:before="120" w:after="120" w:line="288" w:lineRule="auto"/>
        <w:ind w:left="0"/>
        <w:jc w:val="left"/>
      </w:pPr>
      <w:r>
        <w:rPr>
          <w:rFonts w:eastAsia="等线" w:ascii="Arial" w:cs="Arial" w:hAnsi="Arial"/>
          <w:b w:val="true"/>
          <w:sz w:val="22"/>
        </w:rPr>
        <w:t>Purpose of Document</w:t>
      </w:r>
    </w:p>
    <w:p>
      <w:pPr>
        <w:spacing w:before="120" w:after="120" w:line="288" w:lineRule="auto"/>
        <w:ind w:left="0"/>
        <w:jc w:val="left"/>
      </w:pPr>
      <w:r>
        <w:rPr>
          <w:rFonts w:eastAsia="等线" w:ascii="Arial" w:cs="Arial" w:hAnsi="Arial"/>
          <w:sz w:val="22"/>
        </w:rPr>
        <w:t>To establish the baseline specifications, service level commitments, and commercial framework for the deployment and ongoing use of Maia between the Vendor and the Client.</w:t>
      </w:r>
    </w:p>
    <w:p>
      <w:pPr>
        <w:numPr>
          <w:numId w:val="3"/>
        </w:numPr>
        <w:spacing w:before="120" w:after="120" w:line="288" w:lineRule="auto"/>
        <w:ind w:left="0"/>
        <w:jc w:val="left"/>
      </w:pPr>
      <w:r>
        <w:rPr>
          <w:rFonts w:eastAsia="等线" w:ascii="Arial" w:cs="Arial" w:hAnsi="Arial"/>
          <w:b w:val="true"/>
          <w:sz w:val="22"/>
        </w:rPr>
        <w:t>Mutual Commitment</w:t>
      </w:r>
    </w:p>
    <w:p>
      <w:pPr>
        <w:spacing w:before="120" w:after="120" w:line="288" w:lineRule="auto"/>
        <w:ind w:left="0"/>
        <w:jc w:val="left"/>
      </w:pPr>
      <w:r>
        <w:rPr>
          <w:rFonts w:eastAsia="等线" w:ascii="Arial" w:cs="Arial" w:hAnsi="Arial"/>
          <w:sz w:val="22"/>
        </w:rPr>
        <w:t>This document sets out the expectations and obligations of both parties to ensure a successful business engagement.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Product Specifications</w:t>
      </w:r>
      <w:bookmarkEnd w:id="2"/>
    </w:p>
    <w:p>
      <w:pPr>
        <w:spacing w:before="120" w:after="120" w:line="288" w:lineRule="auto"/>
        <w:ind w:left="0"/>
        <w:jc w:val="left"/>
      </w:pPr>
      <w:r>
        <w:rPr>
          <w:rFonts w:eastAsia="等线" w:ascii="Arial" w:cs="Arial" w:hAnsi="Arial"/>
          <w:sz w:val="22"/>
        </w:rPr>
        <w:t xml:space="preserve">MAIA is delivered as a </w:t>
      </w:r>
      <w:r>
        <w:rPr>
          <w:rFonts w:eastAsia="等线" w:ascii="Arial" w:cs="Arial" w:hAnsi="Arial"/>
          <w:b w:val="true"/>
          <w:sz w:val="22"/>
        </w:rPr>
        <w:t>modular, cloud-based business platform</w:t>
      </w:r>
      <w:r>
        <w:rPr>
          <w:rFonts w:eastAsia="等线" w:ascii="Arial" w:cs="Arial" w:hAnsi="Arial"/>
          <w:sz w:val="22"/>
        </w:rPr>
        <w:t xml:space="preserve"> designed for enterprises and SMEs. Each module can function independently while also integrating seamlessly into the wider MAIA ecosystem.</w:t>
      </w:r>
    </w:p>
    <w:p>
      <w:pPr>
        <w:spacing w:before="120" w:after="120" w:line="288" w:lineRule="auto"/>
        <w:ind w:left="0"/>
        <w:jc w:val="left"/>
      </w:pPr>
      <w:r>
        <w:rPr>
          <w:rFonts w:eastAsia="等线" w:ascii="Arial" w:cs="Arial" w:hAnsi="Arial"/>
          <w:sz w:val="22"/>
        </w:rPr>
        <w:t xml:space="preserve">The system is engineered with </w:t>
      </w:r>
      <w:r>
        <w:rPr>
          <w:rFonts w:eastAsia="等线" w:ascii="Arial" w:cs="Arial" w:hAnsi="Arial"/>
          <w:b w:val="true"/>
          <w:sz w:val="22"/>
        </w:rPr>
        <w:t>scalability, configurability, and high availability</w:t>
      </w:r>
      <w:r>
        <w:rPr>
          <w:rFonts w:eastAsia="等线" w:ascii="Arial" w:cs="Arial" w:hAnsi="Arial"/>
          <w:sz w:val="22"/>
        </w:rPr>
        <w:t xml:space="preserve"> in mind, ensuring it can support both small businesses and enterprise-grade deployments handling hundreds of thousands of transactions per day.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2.1 Delivery Model</w:t>
      </w:r>
      <w:bookmarkEnd w:id="3"/>
    </w:p>
    <w:p>
      <w:pPr>
        <w:spacing w:before="120" w:after="120" w:line="288" w:lineRule="auto"/>
        <w:ind w:left="0"/>
        <w:jc w:val="left"/>
      </w:pPr>
      <w:r>
        <w:rPr>
          <w:rFonts w:eastAsia="等线" w:ascii="Arial" w:cs="Arial" w:hAnsi="Arial"/>
          <w:b w:val="true"/>
          <w:sz w:val="22"/>
        </w:rPr>
        <w:t>Cloud-Hosted Platform:</w:t>
      </w:r>
      <w:r>
        <w:rPr>
          <w:rFonts w:eastAsia="等线" w:ascii="Arial" w:cs="Arial" w:hAnsi="Arial"/>
          <w:sz w:val="22"/>
        </w:rPr>
        <w:t xml:space="preserve"> MAIA is delivered securely from the cloud, ensuring continuous availability and ease of access without the need for local installations.</w:t>
      </w:r>
    </w:p>
    <w:p>
      <w:pPr>
        <w:spacing w:before="120" w:after="120" w:line="288" w:lineRule="auto"/>
        <w:ind w:left="0"/>
        <w:jc w:val="left"/>
      </w:pPr>
      <w:r>
        <w:rPr>
          <w:rFonts w:eastAsia="等线" w:ascii="Arial" w:cs="Arial" w:hAnsi="Arial"/>
          <w:b w:val="true"/>
          <w:sz w:val="22"/>
        </w:rPr>
        <w:t>Flexible Tiers:</w:t>
      </w:r>
    </w:p>
    <w:p>
      <w:pPr>
        <w:spacing w:before="120" w:after="120" w:line="288" w:lineRule="auto"/>
        <w:ind w:left="453"/>
        <w:jc w:val="left"/>
      </w:pPr>
      <w:r>
        <w:rPr>
          <w:rFonts w:eastAsia="等线" w:ascii="Arial" w:cs="Arial" w:hAnsi="Arial"/>
          <w:b w:val="true"/>
          <w:sz w:val="22"/>
        </w:rPr>
        <w:t>Freemium:</w:t>
      </w:r>
      <w:r>
        <w:rPr>
          <w:rFonts w:eastAsia="等线" w:ascii="Arial" w:cs="Arial" w:hAnsi="Arial"/>
          <w:sz w:val="22"/>
        </w:rPr>
        <w:t xml:space="preserve"> Entry-level access with shared hosting and essential features.</w:t>
      </w:r>
    </w:p>
    <w:p>
      <w:pPr>
        <w:spacing w:before="120" w:after="120" w:line="288" w:lineRule="auto"/>
        <w:ind w:left="453"/>
        <w:jc w:val="left"/>
      </w:pPr>
      <w:r>
        <w:rPr>
          <w:rFonts w:eastAsia="等线" w:ascii="Arial" w:cs="Arial" w:hAnsi="Arial"/>
          <w:b w:val="true"/>
          <w:sz w:val="22"/>
        </w:rPr>
        <w:t>Pro:</w:t>
      </w:r>
      <w:r>
        <w:rPr>
          <w:rFonts w:eastAsia="等线" w:ascii="Arial" w:cs="Arial" w:hAnsi="Arial"/>
          <w:sz w:val="22"/>
        </w:rPr>
        <w:t xml:space="preserve"> Dedicated environment per company with advanced features.</w:t>
      </w:r>
    </w:p>
    <w:p>
      <w:pPr>
        <w:spacing w:before="120" w:after="120" w:line="288" w:lineRule="auto"/>
        <w:ind w:left="453"/>
        <w:jc w:val="left"/>
      </w:pPr>
      <w:r>
        <w:rPr>
          <w:rFonts w:eastAsia="等线" w:ascii="Arial" w:cs="Arial" w:hAnsi="Arial"/>
          <w:b w:val="true"/>
          <w:sz w:val="22"/>
        </w:rPr>
        <w:t>Enterprise:</w:t>
      </w:r>
      <w:r>
        <w:rPr>
          <w:rFonts w:eastAsia="等线" w:ascii="Arial" w:cs="Arial" w:hAnsi="Arial"/>
          <w:sz w:val="22"/>
        </w:rPr>
        <w:t xml:space="preserve"> Fully isolated environment with dedicated infrastructure, compliance support, and custom options.</w:t>
      </w:r>
    </w:p>
    <w:p>
      <w:pPr>
        <w:spacing w:before="120" w:after="120" w:line="288" w:lineRule="auto"/>
        <w:ind w:left="0"/>
        <w:jc w:val="left"/>
      </w:pPr>
      <w:r>
        <w:rPr>
          <w:rFonts w:eastAsia="等线" w:ascii="Arial" w:cs="Arial" w:hAnsi="Arial"/>
          <w:b w:val="true"/>
          <w:sz w:val="22"/>
        </w:rPr>
        <w:t>Deployment Regions:</w:t>
      </w:r>
      <w:r>
        <w:rPr>
          <w:rFonts w:eastAsia="等线" w:ascii="Arial" w:cs="Arial" w:hAnsi="Arial"/>
          <w:sz w:val="22"/>
        </w:rPr>
        <w:t xml:space="preserve"> Data hosting can be tailored to regional compliance or performance requirements (e.g., APAC, EU, US).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2.2 System Interfaces</w:t>
      </w:r>
      <w:bookmarkEnd w:id="4"/>
    </w:p>
    <w:p>
      <w:pPr>
        <w:spacing w:before="120" w:after="120" w:line="288" w:lineRule="auto"/>
        <w:ind w:left="0"/>
        <w:jc w:val="left"/>
      </w:pPr>
      <w:r>
        <w:rPr>
          <w:rFonts w:eastAsia="等线" w:ascii="Arial" w:cs="Arial" w:hAnsi="Arial"/>
          <w:b w:val="true"/>
          <w:sz w:val="22"/>
        </w:rPr>
        <w:t>Web Application:</w:t>
      </w:r>
    </w:p>
    <w:p>
      <w:pPr>
        <w:numPr>
          <w:numId w:val="4"/>
        </w:numPr>
        <w:spacing w:before="120" w:after="120" w:line="288" w:lineRule="auto"/>
        <w:ind w:left="0"/>
        <w:jc w:val="left"/>
      </w:pPr>
      <w:r>
        <w:rPr>
          <w:rFonts w:eastAsia="等线" w:ascii="Arial" w:cs="Arial" w:hAnsi="Arial"/>
          <w:sz w:val="22"/>
        </w:rPr>
        <w:t>Accessible via all modern browsers.</w:t>
      </w:r>
    </w:p>
    <w:p>
      <w:pPr>
        <w:numPr>
          <w:numId w:val="5"/>
        </w:numPr>
        <w:spacing w:before="120" w:after="120" w:line="288" w:lineRule="auto"/>
        <w:ind w:left="0"/>
        <w:jc w:val="left"/>
      </w:pPr>
      <w:r>
        <w:rPr>
          <w:rFonts w:eastAsia="等线" w:ascii="Arial" w:cs="Arial" w:hAnsi="Arial"/>
          <w:sz w:val="22"/>
        </w:rPr>
        <w:t>Provides intuitive dashboards and role-based views for managers, finance teams, operations, and administrators.</w:t>
      </w:r>
    </w:p>
    <w:p>
      <w:pPr>
        <w:numPr>
          <w:numId w:val="6"/>
        </w:numPr>
        <w:spacing w:before="120" w:after="120" w:line="288" w:lineRule="auto"/>
        <w:ind w:left="0"/>
        <w:jc w:val="left"/>
      </w:pPr>
      <w:r>
        <w:rPr>
          <w:rFonts w:eastAsia="等线" w:ascii="Arial" w:cs="Arial" w:hAnsi="Arial"/>
          <w:sz w:val="22"/>
        </w:rPr>
        <w:t>Real-time updates for transactions, approvals, and customer interactions.</w:t>
      </w:r>
    </w:p>
    <w:p>
      <w:pPr>
        <w:spacing w:before="120" w:after="120" w:line="288" w:lineRule="auto"/>
        <w:ind w:left="0"/>
        <w:jc w:val="left"/>
      </w:pPr>
      <w:r>
        <w:rPr>
          <w:rFonts w:eastAsia="等线" w:ascii="Arial" w:cs="Arial" w:hAnsi="Arial"/>
          <w:b w:val="true"/>
          <w:sz w:val="22"/>
        </w:rPr>
        <w:t>Mobile-Responsive Access:</w:t>
      </w:r>
    </w:p>
    <w:p>
      <w:pPr>
        <w:numPr>
          <w:numId w:val="7"/>
        </w:numPr>
        <w:spacing w:before="120" w:after="120" w:line="288" w:lineRule="auto"/>
        <w:ind w:left="0"/>
        <w:jc w:val="left"/>
      </w:pPr>
      <w:r>
        <w:rPr>
          <w:rFonts w:eastAsia="等线" w:ascii="Arial" w:cs="Arial" w:hAnsi="Arial"/>
          <w:sz w:val="22"/>
        </w:rPr>
        <w:t>Optimized for smartphones and tablets.</w:t>
      </w:r>
    </w:p>
    <w:p>
      <w:pPr>
        <w:numPr>
          <w:numId w:val="8"/>
        </w:numPr>
        <w:spacing w:before="120" w:after="120" w:line="288" w:lineRule="auto"/>
        <w:ind w:left="0"/>
        <w:jc w:val="left"/>
      </w:pPr>
      <w:r>
        <w:rPr>
          <w:rFonts w:eastAsia="等线" w:ascii="Arial" w:cs="Arial" w:hAnsi="Arial"/>
          <w:sz w:val="22"/>
        </w:rPr>
        <w:t>Designed for sales teams, delivery agents, and field users to perform tasks such as order management, approvals, and proof-of-delivery on the go.</w:t>
      </w:r>
    </w:p>
    <w:p>
      <w:pPr>
        <w:spacing w:before="120" w:after="120" w:line="288" w:lineRule="auto"/>
        <w:ind w:left="0"/>
        <w:jc w:val="left"/>
      </w:pPr>
      <w:r>
        <w:rPr>
          <w:rFonts w:eastAsia="等线" w:ascii="Arial" w:cs="Arial" w:hAnsi="Arial"/>
          <w:b w:val="true"/>
          <w:sz w:val="22"/>
        </w:rPr>
        <w:t>Specialized Workspaces:</w:t>
      </w:r>
    </w:p>
    <w:p>
      <w:pPr>
        <w:numPr>
          <w:numId w:val="9"/>
        </w:numPr>
        <w:spacing w:before="120" w:after="120" w:line="288" w:lineRule="auto"/>
        <w:ind w:left="0"/>
        <w:jc w:val="left"/>
      </w:pPr>
      <w:r>
        <w:rPr>
          <w:rFonts w:eastAsia="等线" w:ascii="Arial" w:cs="Arial" w:hAnsi="Arial"/>
          <w:b w:val="true"/>
          <w:sz w:val="22"/>
        </w:rPr>
        <w:t>Sales Workspace:</w:t>
      </w:r>
      <w:r>
        <w:rPr>
          <w:rFonts w:eastAsia="等线" w:ascii="Arial" w:cs="Arial" w:hAnsi="Arial"/>
          <w:sz w:val="22"/>
        </w:rPr>
        <w:t xml:space="preserve"> Tailored for sales agents to manage quotations, orders, and customer interactions.</w:t>
      </w:r>
    </w:p>
    <w:p>
      <w:pPr>
        <w:numPr>
          <w:numId w:val="10"/>
        </w:numPr>
        <w:spacing w:before="120" w:after="120" w:line="288" w:lineRule="auto"/>
        <w:ind w:left="0"/>
        <w:jc w:val="left"/>
      </w:pPr>
      <w:r>
        <w:rPr>
          <w:rFonts w:eastAsia="等线" w:ascii="Arial" w:cs="Arial" w:hAnsi="Arial"/>
          <w:b w:val="true"/>
          <w:sz w:val="22"/>
        </w:rPr>
        <w:t>Operations &amp; Delivery Workspace:</w:t>
      </w:r>
      <w:r>
        <w:rPr>
          <w:rFonts w:eastAsia="等线" w:ascii="Arial" w:cs="Arial" w:hAnsi="Arial"/>
          <w:sz w:val="22"/>
        </w:rPr>
        <w:t xml:space="preserve"> Enables drivers and logistics staff to update statuses and capture proof of delivery or payment.</w:t>
      </w:r>
    </w:p>
    <w:p>
      <w:pPr>
        <w:numPr>
          <w:numId w:val="11"/>
        </w:numPr>
        <w:spacing w:before="120" w:after="120" w:line="288" w:lineRule="auto"/>
        <w:ind w:left="0"/>
        <w:jc w:val="left"/>
      </w:pPr>
      <w:r>
        <w:rPr>
          <w:rFonts w:eastAsia="等线" w:ascii="Arial" w:cs="Arial" w:hAnsi="Arial"/>
          <w:b w:val="true"/>
          <w:sz w:val="22"/>
        </w:rPr>
        <w:t>Managerial Dashboards:</w:t>
      </w:r>
      <w:r>
        <w:rPr>
          <w:rFonts w:eastAsia="等线" w:ascii="Arial" w:cs="Arial" w:hAnsi="Arial"/>
          <w:sz w:val="22"/>
        </w:rPr>
        <w:t xml:space="preserve"> Provide leadership teams with visibility into performance, revenue, and outstanding actions.</w:t>
      </w:r>
    </w:p>
    <w:p>
      <w:pPr>
        <w:spacing w:before="120" w:after="120" w:line="288" w:lineRule="auto"/>
        <w:ind w:left="0"/>
        <w:jc w:val="left"/>
      </w:pPr>
      <w:r>
        <w:rPr>
          <w:rFonts w:eastAsia="等线" w:ascii="Arial" w:cs="Arial" w:hAnsi="Arial"/>
          <w:b w:val="true"/>
          <w:sz w:val="22"/>
        </w:rPr>
        <w:t>Integration Interfaces:</w:t>
      </w:r>
    </w:p>
    <w:p>
      <w:pPr>
        <w:numPr>
          <w:numId w:val="12"/>
        </w:numPr>
        <w:spacing w:before="120" w:after="120" w:line="288" w:lineRule="auto"/>
        <w:ind w:left="0"/>
        <w:jc w:val="left"/>
      </w:pPr>
      <w:r>
        <w:rPr>
          <w:rFonts w:eastAsia="等线" w:ascii="Arial" w:cs="Arial" w:hAnsi="Arial"/>
          <w:sz w:val="22"/>
        </w:rPr>
        <w:t>Standardized APIs for extending functionality and connecting with external platforms.</w:t>
      </w:r>
    </w:p>
    <w:p>
      <w:pPr>
        <w:numPr>
          <w:numId w:val="13"/>
        </w:numPr>
        <w:spacing w:before="120" w:after="120" w:line="288" w:lineRule="auto"/>
        <w:ind w:left="0"/>
        <w:jc w:val="left"/>
      </w:pPr>
      <w:r>
        <w:rPr>
          <w:rFonts w:eastAsia="等线" w:ascii="Arial" w:cs="Arial" w:hAnsi="Arial"/>
          <w:sz w:val="22"/>
        </w:rPr>
        <w:t>Pre-built integrations with major sales channels (Shopee, Lazada, TikTok, Shopify, WooCommerce) and communication tools (WhatsApp, Telegram, WeChat, Messenger, Email).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2.3 Core System Capabilities</w:t>
      </w:r>
      <w:bookmarkEnd w:id="5"/>
    </w:p>
    <w:p>
      <w:pPr>
        <w:spacing w:before="120" w:after="120" w:line="288" w:lineRule="auto"/>
        <w:ind w:left="0"/>
        <w:jc w:val="left"/>
      </w:pPr>
      <w:r>
        <w:rPr>
          <w:rFonts w:eastAsia="等线" w:ascii="Arial" w:cs="Arial" w:hAnsi="Arial"/>
          <w:b w:val="true"/>
          <w:sz w:val="22"/>
        </w:rPr>
        <w:t>Unified Business Foundation:</w:t>
      </w:r>
      <w:r>
        <w:rPr>
          <w:rFonts w:eastAsia="等线" w:ascii="Arial" w:cs="Arial" w:hAnsi="Arial"/>
          <w:sz w:val="22"/>
        </w:rPr>
        <w:t xml:space="preserve"> A robust digital core that consolidates sales, finance, inventory, logistics, and communications into one environment.</w:t>
      </w:r>
    </w:p>
    <w:p>
      <w:pPr>
        <w:spacing w:before="120" w:after="120" w:line="288" w:lineRule="auto"/>
        <w:ind w:left="0"/>
        <w:jc w:val="left"/>
      </w:pPr>
      <w:r>
        <w:rPr>
          <w:rFonts w:eastAsia="等线" w:ascii="Arial" w:cs="Arial" w:hAnsi="Arial"/>
          <w:b w:val="true"/>
          <w:sz w:val="22"/>
        </w:rPr>
        <w:t>Customizable Workflows:</w:t>
      </w:r>
      <w:r>
        <w:rPr>
          <w:rFonts w:eastAsia="等线" w:ascii="Arial" w:cs="Arial" w:hAnsi="Arial"/>
          <w:sz w:val="22"/>
        </w:rPr>
        <w:t xml:space="preserve"> Business processes can be tailored to reflect each company’s policies and approval steps.</w:t>
      </w:r>
    </w:p>
    <w:p>
      <w:pPr>
        <w:spacing w:before="120" w:after="120" w:line="288" w:lineRule="auto"/>
        <w:ind w:left="0"/>
        <w:jc w:val="left"/>
      </w:pPr>
      <w:r>
        <w:rPr>
          <w:rFonts w:eastAsia="等线" w:ascii="Arial" w:cs="Arial" w:hAnsi="Arial"/>
          <w:b w:val="true"/>
          <w:sz w:val="22"/>
        </w:rPr>
        <w:t>Scalable Data Models:</w:t>
      </w:r>
      <w:r>
        <w:rPr>
          <w:rFonts w:eastAsia="等线" w:ascii="Arial" w:cs="Arial" w:hAnsi="Arial"/>
          <w:sz w:val="22"/>
        </w:rPr>
        <w:t xml:space="preserve"> Flexible structures accommodate both standardized records and unique, platform-specific requirements.</w:t>
      </w:r>
    </w:p>
    <w:p>
      <w:pPr>
        <w:spacing w:before="120" w:after="120" w:line="288" w:lineRule="auto"/>
        <w:ind w:left="0"/>
        <w:jc w:val="left"/>
      </w:pPr>
      <w:r>
        <w:rPr>
          <w:rFonts w:eastAsia="等线" w:ascii="Arial" w:cs="Arial" w:hAnsi="Arial"/>
          <w:b w:val="true"/>
          <w:sz w:val="22"/>
        </w:rPr>
        <w:t>Extensibility:</w:t>
      </w:r>
      <w:r>
        <w:rPr>
          <w:rFonts w:eastAsia="等线" w:ascii="Arial" w:cs="Arial" w:hAnsi="Arial"/>
          <w:sz w:val="22"/>
        </w:rPr>
        <w:t xml:space="preserve"> Companies can configure new rules, workflows, and integrations without disrupting existing processes.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2.4 Security &amp; Compliance</w:t>
      </w:r>
      <w:bookmarkEnd w:id="6"/>
    </w:p>
    <w:p>
      <w:pPr>
        <w:spacing w:before="120" w:after="120" w:line="288" w:lineRule="auto"/>
        <w:ind w:left="0"/>
        <w:jc w:val="left"/>
      </w:pPr>
      <w:r>
        <w:rPr>
          <w:rFonts w:eastAsia="等线" w:ascii="Arial" w:cs="Arial" w:hAnsi="Arial"/>
          <w:b w:val="true"/>
          <w:sz w:val="22"/>
        </w:rPr>
        <w:t xml:space="preserve">Authentication: </w:t>
      </w:r>
      <w:r>
        <w:rPr>
          <w:rFonts w:eastAsia="等线" w:ascii="Arial" w:cs="Arial" w:hAnsi="Arial"/>
          <w:sz w:val="22"/>
        </w:rPr>
        <w:t>The system currently supports secure, role-based access with standard authentication. Additional options such as two-factor authentication (2FA) and single sign-on (SSO) will be introduced in future releases to further strengthen enterprise security.</w:t>
      </w:r>
    </w:p>
    <w:p>
      <w:pPr>
        <w:spacing w:before="120" w:after="120" w:line="288" w:lineRule="auto"/>
        <w:ind w:left="0"/>
        <w:jc w:val="left"/>
      </w:pPr>
      <w:r>
        <w:rPr>
          <w:rFonts w:eastAsia="等线" w:ascii="Arial" w:cs="Arial" w:hAnsi="Arial"/>
          <w:b w:val="true"/>
          <w:sz w:val="22"/>
        </w:rPr>
        <w:t>Data Isolation:</w:t>
      </w:r>
      <w:r>
        <w:rPr>
          <w:rFonts w:eastAsia="等线" w:ascii="Arial" w:cs="Arial" w:hAnsi="Arial"/>
          <w:sz w:val="22"/>
        </w:rPr>
        <w:t xml:space="preserve"> Company-level isolation; Enterprise clients get fully isolated database instances, ensuring data encryption in transit and at rest.</w:t>
      </w:r>
    </w:p>
    <w:p>
      <w:pPr>
        <w:spacing w:before="120" w:after="120" w:line="288" w:lineRule="auto"/>
        <w:ind w:left="0"/>
        <w:jc w:val="left"/>
      </w:pPr>
      <w:r>
        <w:rPr>
          <w:rFonts w:eastAsia="等线" w:ascii="Arial" w:cs="Arial" w:hAnsi="Arial"/>
          <w:b w:val="true"/>
          <w:sz w:val="22"/>
        </w:rPr>
        <w:t>Encryption:</w:t>
      </w:r>
      <w:r>
        <w:rPr>
          <w:rFonts w:eastAsia="等线" w:ascii="Arial" w:cs="Arial" w:hAnsi="Arial"/>
          <w:sz w:val="22"/>
        </w:rPr>
        <w:t xml:space="preserve"> TLS 1.2/1.3 in transit, AES-256 at rest.</w:t>
      </w:r>
    </w:p>
    <w:p>
      <w:pPr>
        <w:spacing w:before="120" w:after="120" w:line="288" w:lineRule="auto"/>
        <w:ind w:left="0"/>
        <w:jc w:val="left"/>
      </w:pPr>
      <w:r>
        <w:rPr>
          <w:rFonts w:eastAsia="等线" w:ascii="Arial" w:cs="Arial" w:hAnsi="Arial"/>
          <w:b w:val="true"/>
          <w:sz w:val="22"/>
        </w:rPr>
        <w:t>Compliance Roadmap:</w:t>
      </w:r>
      <w:r>
        <w:rPr>
          <w:rFonts w:eastAsia="等线" w:ascii="Arial" w:cs="Arial" w:hAnsi="Arial"/>
          <w:sz w:val="22"/>
        </w:rPr>
        <w:t xml:space="preserve"> SOC2, ISO27001, GDPR readiness, and customer-managed encryption keys (Enterprise).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2.5 Availability &amp; Performance</w:t>
      </w:r>
      <w:bookmarkEnd w:id="7"/>
    </w:p>
    <w:p>
      <w:pPr>
        <w:spacing w:before="120" w:after="120" w:line="288" w:lineRule="auto"/>
        <w:ind w:left="0"/>
        <w:jc w:val="left"/>
      </w:pPr>
      <w:r>
        <w:rPr>
          <w:rFonts w:eastAsia="等线" w:ascii="Arial" w:cs="Arial" w:hAnsi="Arial"/>
          <w:b w:val="true"/>
          <w:sz w:val="22"/>
        </w:rPr>
        <w:t>High Availability:</w:t>
      </w:r>
      <w:r>
        <w:rPr>
          <w:rFonts w:eastAsia="等线" w:ascii="Arial" w:cs="Arial" w:hAnsi="Arial"/>
          <w:sz w:val="22"/>
        </w:rPr>
        <w:t xml:space="preserve"> Built-in redundancy and automated failover to minimize downtime.</w:t>
      </w:r>
    </w:p>
    <w:p>
      <w:pPr>
        <w:spacing w:before="120" w:after="120" w:line="288" w:lineRule="auto"/>
        <w:ind w:left="0"/>
        <w:jc w:val="left"/>
      </w:pPr>
      <w:r>
        <w:rPr>
          <w:rFonts w:eastAsia="等线" w:ascii="Arial" w:cs="Arial" w:hAnsi="Arial"/>
          <w:b w:val="true"/>
          <w:sz w:val="22"/>
        </w:rPr>
        <w:t>Scalability:</w:t>
      </w:r>
      <w:r>
        <w:rPr>
          <w:rFonts w:eastAsia="等线" w:ascii="Arial" w:cs="Arial" w:hAnsi="Arial"/>
          <w:sz w:val="22"/>
        </w:rPr>
        <w:t xml:space="preserve"> Infrastructure expands automatically to handle seasonal sales peaks and large transaction volumes.</w:t>
      </w:r>
    </w:p>
    <w:p>
      <w:pPr>
        <w:spacing w:before="120" w:after="120" w:line="288" w:lineRule="auto"/>
        <w:ind w:left="0"/>
        <w:jc w:val="left"/>
      </w:pPr>
      <w:r>
        <w:rPr>
          <w:rFonts w:eastAsia="等线" w:ascii="Arial" w:cs="Arial" w:hAnsi="Arial"/>
          <w:b w:val="true"/>
          <w:sz w:val="22"/>
        </w:rPr>
        <w:t>Uptime Commitment:</w:t>
      </w:r>
      <w:r>
        <w:rPr>
          <w:rFonts w:eastAsia="等线" w:ascii="Arial" w:cs="Arial" w:hAnsi="Arial"/>
          <w:sz w:val="22"/>
        </w:rPr>
        <w:t xml:space="preserve"> 99.9% uptime SLA for Pro and Enterprise clients.</w:t>
      </w:r>
    </w:p>
    <w:p>
      <w:pPr>
        <w:spacing w:before="120" w:after="120" w:line="288" w:lineRule="auto"/>
        <w:ind w:left="0"/>
        <w:jc w:val="left"/>
      </w:pPr>
      <w:r>
        <w:rPr>
          <w:rFonts w:eastAsia="等线" w:ascii="Arial" w:cs="Arial" w:hAnsi="Arial"/>
          <w:b w:val="true"/>
          <w:sz w:val="22"/>
        </w:rPr>
        <w:t>Performance Monitoring:</w:t>
      </w:r>
      <w:r>
        <w:rPr>
          <w:rFonts w:eastAsia="等线" w:ascii="Arial" w:cs="Arial" w:hAnsi="Arial"/>
          <w:sz w:val="22"/>
        </w:rPr>
        <w:t xml:space="preserve"> Proactive system monitoring and optimization to maintain speed and reliability.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2.6 Customization &amp; Extensibility</w:t>
      </w:r>
      <w:bookmarkEnd w:id="8"/>
    </w:p>
    <w:p>
      <w:pPr>
        <w:spacing w:before="120" w:after="120" w:line="288" w:lineRule="auto"/>
        <w:ind w:left="0"/>
        <w:jc w:val="left"/>
      </w:pPr>
      <w:r>
        <w:rPr>
          <w:rFonts w:eastAsia="等线" w:ascii="Arial" w:cs="Arial" w:hAnsi="Arial"/>
          <w:b w:val="true"/>
          <w:sz w:val="22"/>
        </w:rPr>
        <w:t>Workflow Customization:</w:t>
      </w:r>
      <w:r>
        <w:rPr>
          <w:rFonts w:eastAsia="等线" w:ascii="Arial" w:cs="Arial" w:hAnsi="Arial"/>
          <w:sz w:val="22"/>
        </w:rPr>
        <w:t xml:space="preserve"> Clients may request adjustments to approval flows, SOPs, and operational processes. Such requests will be reviewed and delivered through formal change requests or variation orders, subject to feasibility and vendor assessment.</w:t>
      </w:r>
    </w:p>
    <w:p>
      <w:pPr>
        <w:spacing w:before="120" w:after="120" w:line="288" w:lineRule="auto"/>
        <w:ind w:left="0"/>
        <w:jc w:val="left"/>
      </w:pPr>
      <w:r>
        <w:rPr>
          <w:rFonts w:eastAsia="等线" w:ascii="Arial" w:cs="Arial" w:hAnsi="Arial"/>
          <w:b w:val="true"/>
          <w:sz w:val="22"/>
        </w:rPr>
        <w:t>Data Flexibility:</w:t>
      </w:r>
      <w:r>
        <w:rPr>
          <w:rFonts w:eastAsia="等线" w:ascii="Arial" w:cs="Arial" w:hAnsi="Arial"/>
          <w:sz w:val="22"/>
        </w:rPr>
        <w:t xml:space="preserve"> While standard business records are provided out-of-the-box, additional configurable fields or data models can be introduced upon request. These enhancements are subject to evaluation by the vendor’s development team and may require separate approval.</w:t>
      </w:r>
    </w:p>
    <w:p>
      <w:pPr>
        <w:spacing w:before="120" w:after="120" w:line="288" w:lineRule="auto"/>
        <w:ind w:left="0"/>
        <w:jc w:val="left"/>
      </w:pPr>
      <w:r>
        <w:rPr>
          <w:rFonts w:eastAsia="等线" w:ascii="Arial" w:cs="Arial" w:hAnsi="Arial"/>
          <w:b w:val="true"/>
          <w:sz w:val="22"/>
        </w:rPr>
        <w:t>Branding Options:</w:t>
      </w:r>
      <w:r>
        <w:rPr>
          <w:rFonts w:eastAsia="等线" w:ascii="Arial" w:cs="Arial" w:hAnsi="Arial"/>
          <w:sz w:val="22"/>
        </w:rPr>
        <w:t xml:space="preserve"> Enterprise clients may request white-labeling of the system with their own branding and domains. Branding changes outside the standard scope will be handled as a variation order.</w:t>
      </w:r>
    </w:p>
    <w:p>
      <w:pPr>
        <w:spacing w:before="120" w:after="120" w:line="288" w:lineRule="auto"/>
        <w:ind w:left="0"/>
        <w:jc w:val="left"/>
      </w:pPr>
      <w:r>
        <w:rPr>
          <w:rFonts w:eastAsia="等线" w:ascii="Arial" w:cs="Arial" w:hAnsi="Arial"/>
          <w:b w:val="true"/>
          <w:sz w:val="22"/>
        </w:rPr>
        <w:t>Integration Points:</w:t>
      </w:r>
      <w:r>
        <w:rPr>
          <w:rFonts w:eastAsia="等线" w:ascii="Arial" w:cs="Arial" w:hAnsi="Arial"/>
          <w:sz w:val="22"/>
        </w:rPr>
        <w:t xml:space="preserve"> New integrations with external platforms (via APIs, event triggers, or modular connectors) can be developed upon request. The vendor will assess the complexity and impact of such integrations, which will be delivered through formal change requests.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2.7 Baseline Modules (Enterprise Edition)</w:t>
      </w:r>
      <w:bookmarkEnd w:id="9"/>
    </w:p>
    <w:p>
      <w:pPr>
        <w:spacing w:before="120" w:after="120" w:line="288" w:lineRule="auto"/>
        <w:ind w:left="0"/>
        <w:jc w:val="left"/>
      </w:pPr>
      <w:r>
        <w:rPr>
          <w:rFonts w:eastAsia="等线" w:ascii="Arial" w:cs="Arial" w:hAnsi="Arial"/>
          <w:sz w:val="22"/>
        </w:rPr>
        <w:t xml:space="preserve">The following sections outline the baseline modules included in </w:t>
      </w:r>
      <w:r>
        <w:rPr>
          <w:rFonts w:eastAsia="等线" w:ascii="Arial" w:cs="Arial" w:hAnsi="Arial"/>
          <w:b w:val="true"/>
          <w:sz w:val="22"/>
        </w:rPr>
        <w:t>MAIA Enterprise</w:t>
      </w:r>
      <w:r>
        <w:rPr>
          <w:rFonts w:eastAsia="等线" w:ascii="Arial" w:cs="Arial" w:hAnsi="Arial"/>
          <w:sz w:val="22"/>
        </w:rPr>
        <w:t>, with their scope and specifications:</w:t>
      </w:r>
    </w:p>
    <w:p>
      <w:pPr>
        <w:numPr>
          <w:numId w:val="14"/>
        </w:numPr>
        <w:spacing w:before="120" w:after="120" w:line="288" w:lineRule="auto"/>
        <w:ind w:left="0"/>
        <w:jc w:val="left"/>
      </w:pPr>
      <w:r>
        <w:rPr>
          <w:rFonts w:eastAsia="等线" w:ascii="Arial" w:cs="Arial" w:hAnsi="Arial"/>
          <w:b w:val="true"/>
          <w:sz w:val="22"/>
        </w:rPr>
        <w:t>Business Process Flow</w:t>
      </w:r>
    </w:p>
    <w:p>
      <w:pPr>
        <w:numPr>
          <w:numId w:val="15"/>
        </w:numPr>
        <w:spacing w:before="120" w:after="120" w:line="288" w:lineRule="auto"/>
        <w:ind w:left="0"/>
        <w:jc w:val="left"/>
      </w:pPr>
      <w:r>
        <w:rPr>
          <w:rFonts w:eastAsia="等线" w:ascii="Arial" w:cs="Arial" w:hAnsi="Arial"/>
          <w:b w:val="true"/>
          <w:sz w:val="22"/>
        </w:rPr>
        <w:t>User Workspaces</w:t>
      </w:r>
    </w:p>
    <w:p>
      <w:pPr>
        <w:numPr>
          <w:numId w:val="16"/>
        </w:numPr>
        <w:spacing w:before="120" w:after="120" w:line="288" w:lineRule="auto"/>
        <w:ind w:left="0"/>
        <w:jc w:val="left"/>
      </w:pPr>
      <w:r>
        <w:rPr>
          <w:rFonts w:eastAsia="等线" w:ascii="Arial" w:cs="Arial" w:hAnsi="Arial"/>
          <w:b w:val="true"/>
          <w:sz w:val="22"/>
        </w:rPr>
        <w:t>Internal Chatbot Assistants</w:t>
      </w:r>
    </w:p>
    <w:p>
      <w:pPr>
        <w:numPr>
          <w:numId w:val="17"/>
        </w:numPr>
        <w:spacing w:before="120" w:after="120" w:line="288" w:lineRule="auto"/>
        <w:ind w:left="0"/>
        <w:jc w:val="left"/>
      </w:pPr>
      <w:r>
        <w:rPr>
          <w:rFonts w:eastAsia="等线" w:ascii="Arial" w:cs="Arial" w:hAnsi="Arial"/>
          <w:b w:val="true"/>
          <w:sz w:val="22"/>
        </w:rPr>
        <w:t>Document Generation &amp; Exports</w:t>
      </w:r>
    </w:p>
    <w:p>
      <w:pPr>
        <w:numPr>
          <w:numId w:val="18"/>
        </w:numPr>
        <w:spacing w:before="120" w:after="120" w:line="288" w:lineRule="auto"/>
        <w:ind w:left="0"/>
        <w:jc w:val="left"/>
      </w:pPr>
      <w:r>
        <w:rPr>
          <w:rFonts w:eastAsia="等线" w:ascii="Arial" w:cs="Arial" w:hAnsi="Arial"/>
          <w:b w:val="true"/>
          <w:sz w:val="22"/>
        </w:rPr>
        <w:t>Omnichannel Chat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3. </w:t>
      </w:r>
      <w:r>
        <w:rPr>
          <w:rFonts w:eastAsia="等线" w:ascii="Arial" w:cs="Arial" w:hAnsi="Arial"/>
          <w:b w:val="true"/>
          <w:sz w:val="36"/>
        </w:rPr>
        <w:t>Module Specifications</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3.1 </w:t>
      </w:r>
      <w:r>
        <w:rPr>
          <w:rFonts w:eastAsia="等线" w:ascii="Arial" w:cs="Arial" w:hAnsi="Arial"/>
          <w:b w:val="true"/>
          <w:sz w:val="32"/>
        </w:rPr>
        <w:t>Business Process Flow</w:t>
      </w:r>
      <w:bookmarkEnd w:id="11"/>
    </w:p>
    <w:p>
      <w:pPr>
        <w:spacing w:before="120" w:after="120" w:line="288" w:lineRule="auto"/>
        <w:ind w:left="0"/>
        <w:jc w:val="left"/>
      </w:pPr>
      <w:r>
        <w:rPr>
          <w:rFonts w:eastAsia="等线" w:ascii="Arial" w:cs="Arial" w:hAnsi="Arial"/>
          <w:sz w:val="22"/>
        </w:rPr>
        <w:t>MAIA supports a unified business process flow designed to streamline multi-channel sales, order management, and fulfillment operations. The system clearly defines which actions are automated by the platform and which require user intervention, ensuring efficiency, accuracy, and role-based accountability.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3.1.1 </w:t>
      </w:r>
      <w:r>
        <w:rPr>
          <w:rFonts w:eastAsia="等线" w:ascii="Arial" w:cs="Arial" w:hAnsi="Arial"/>
          <w:b w:val="true"/>
          <w:sz w:val="30"/>
        </w:rPr>
        <w:t>End-to-End Business Journey with MAIA</w:t>
      </w:r>
      <w:bookmarkEnd w:id="12"/>
    </w:p>
    <w:p>
      <w:pPr>
        <w:spacing w:before="120" w:after="120" w:line="288" w:lineRule="auto"/>
        <w:ind w:left="0"/>
        <w:jc w:val="left"/>
      </w:pPr>
      <w:r>
        <w:rPr>
          <w:rFonts w:eastAsia="等线" w:ascii="Arial" w:cs="Arial" w:hAnsi="Arial"/>
          <w:sz w:val="22"/>
        </w:rPr>
        <w:t>The MAIA platform unifies the entire order-to-fulfillment lifecycle into a seamless flow. From capturing customer demand to completing delivery and payment reconciliation, every step is digitized, automated where possible, and connected across sales, operations, logistics, and finance teams.</w:t>
      </w: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3.1.1.1.1 </w:t>
      </w:r>
      <w:r>
        <w:rPr>
          <w:rFonts w:eastAsia="等线" w:ascii="Arial" w:cs="Arial" w:hAnsi="Arial"/>
          <w:b w:val="true"/>
          <w:sz w:val="24"/>
        </w:rPr>
        <w:t>Step 1: Sales Order Creation</w:t>
      </w:r>
      <w:bookmarkEnd w:id="13"/>
    </w:p>
    <w:p>
      <w:pPr>
        <w:numPr>
          <w:numId w:val="19"/>
        </w:numPr>
        <w:spacing w:before="120" w:after="120" w:line="288" w:lineRule="auto"/>
        <w:ind w:left="0"/>
        <w:jc w:val="left"/>
      </w:pPr>
      <w:r>
        <w:rPr>
          <w:rFonts w:eastAsia="等线" w:ascii="Arial" w:cs="Arial" w:hAnsi="Arial"/>
          <w:sz w:val="22"/>
        </w:rPr>
        <w:t>A customer places an order through integrated sales channels (Shopee, Lazada, TikTok, Shopify, WooCommerce, WhatsApp chatbot, or B2B portal).</w:t>
      </w:r>
    </w:p>
    <w:p>
      <w:pPr>
        <w:numPr>
          <w:numId w:val="20"/>
        </w:numPr>
        <w:spacing w:before="120" w:after="120" w:line="288" w:lineRule="auto"/>
        <w:ind w:left="0"/>
        <w:jc w:val="left"/>
      </w:pPr>
      <w:r>
        <w:rPr>
          <w:rFonts w:eastAsia="等线" w:ascii="Arial" w:cs="Arial" w:hAnsi="Arial"/>
          <w:sz w:val="22"/>
        </w:rPr>
        <w:t>Sales agents can also create sales orders directly via the MAIA Sales Workspace.</w:t>
      </w:r>
    </w:p>
    <w:p>
      <w:pPr>
        <w:numPr>
          <w:numId w:val="21"/>
        </w:numPr>
        <w:spacing w:before="120" w:after="120" w:line="288" w:lineRule="auto"/>
        <w:ind w:left="0"/>
        <w:jc w:val="left"/>
      </w:pPr>
      <w:r>
        <w:rPr>
          <w:rFonts w:eastAsia="等线" w:ascii="Arial" w:cs="Arial" w:hAnsi="Arial"/>
          <w:sz w:val="22"/>
        </w:rPr>
        <w:t>MAIA automatically generates supporting documents during this stage:</w:t>
      </w:r>
    </w:p>
    <w:p>
      <w:pPr>
        <w:numPr>
          <w:numId w:val="22"/>
        </w:numPr>
        <w:spacing w:before="120" w:after="120" w:line="288" w:lineRule="auto"/>
        <w:ind w:left="453"/>
        <w:jc w:val="left"/>
      </w:pPr>
      <w:r>
        <w:rPr>
          <w:rFonts w:eastAsia="等线" w:ascii="Arial" w:cs="Arial" w:hAnsi="Arial"/>
          <w:b w:val="true"/>
          <w:sz w:val="22"/>
        </w:rPr>
        <w:t>Quotation</w:t>
      </w:r>
      <w:r>
        <w:rPr>
          <w:rFonts w:eastAsia="等线" w:ascii="Arial" w:cs="Arial" w:hAnsi="Arial"/>
          <w:sz w:val="22"/>
        </w:rPr>
        <w:t xml:space="preserve"> → provided to the customer before confirmation.</w:t>
      </w:r>
    </w:p>
    <w:p>
      <w:pPr>
        <w:numPr>
          <w:numId w:val="23"/>
        </w:numPr>
        <w:spacing w:before="120" w:after="120" w:line="288" w:lineRule="auto"/>
        <w:ind w:left="453"/>
        <w:jc w:val="left"/>
      </w:pPr>
      <w:r>
        <w:rPr>
          <w:rFonts w:eastAsia="等线" w:ascii="Arial" w:cs="Arial" w:hAnsi="Arial"/>
          <w:b w:val="true"/>
          <w:sz w:val="22"/>
        </w:rPr>
        <w:t>Sales Order</w:t>
      </w:r>
      <w:r>
        <w:rPr>
          <w:rFonts w:eastAsia="等线" w:ascii="Arial" w:cs="Arial" w:hAnsi="Arial"/>
          <w:sz w:val="22"/>
        </w:rPr>
        <w:t xml:space="preserve"> → created once the quotation is accepted or direct order placed.</w:t>
      </w: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3.1.1.1.2 </w:t>
      </w:r>
      <w:r>
        <w:rPr>
          <w:rFonts w:eastAsia="等线" w:ascii="Arial" w:cs="Arial" w:hAnsi="Arial"/>
          <w:b w:val="true"/>
          <w:sz w:val="24"/>
        </w:rPr>
        <w:t>Step 2: Payment &amp; Validation</w:t>
      </w:r>
      <w:bookmarkEnd w:id="14"/>
    </w:p>
    <w:p>
      <w:pPr>
        <w:numPr>
          <w:numId w:val="24"/>
        </w:numPr>
        <w:spacing w:before="120" w:after="120" w:line="288" w:lineRule="auto"/>
        <w:ind w:left="0"/>
        <w:jc w:val="left"/>
      </w:pPr>
      <w:r>
        <w:rPr>
          <w:rFonts w:eastAsia="等线" w:ascii="Arial" w:cs="Arial" w:hAnsi="Arial"/>
          <w:sz w:val="22"/>
        </w:rPr>
        <w:t>Payment options are shared automatically via integrated gateways (FPX, e-wallets, card payments, or manual bank transfer with proof upload).</w:t>
      </w:r>
    </w:p>
    <w:p>
      <w:pPr>
        <w:numPr>
          <w:numId w:val="25"/>
        </w:numPr>
        <w:spacing w:before="120" w:after="120" w:line="288" w:lineRule="auto"/>
        <w:ind w:left="0"/>
        <w:jc w:val="left"/>
      </w:pPr>
      <w:r>
        <w:rPr>
          <w:rFonts w:eastAsia="等线" w:ascii="Arial" w:cs="Arial" w:hAnsi="Arial"/>
          <w:sz w:val="22"/>
        </w:rPr>
        <w:t>MAIA validates payment status in real time or through proof-of-payment confirmation flows.</w:t>
      </w:r>
    </w:p>
    <w:p>
      <w:pPr>
        <w:numPr>
          <w:numId w:val="26"/>
        </w:numPr>
        <w:spacing w:before="120" w:after="120" w:line="288" w:lineRule="auto"/>
        <w:ind w:left="0"/>
        <w:jc w:val="left"/>
      </w:pPr>
      <w:r>
        <w:rPr>
          <w:rFonts w:eastAsia="等线" w:ascii="Arial" w:cs="Arial" w:hAnsi="Arial"/>
          <w:sz w:val="22"/>
        </w:rPr>
        <w:t xml:space="preserve">Once validated, the </w:t>
      </w:r>
      <w:r>
        <w:rPr>
          <w:rFonts w:eastAsia="等线" w:ascii="Arial" w:cs="Arial" w:hAnsi="Arial"/>
          <w:b w:val="true"/>
          <w:sz w:val="22"/>
        </w:rPr>
        <w:t>Invoice</w:t>
      </w:r>
      <w:r>
        <w:rPr>
          <w:rFonts w:eastAsia="等线" w:ascii="Arial" w:cs="Arial" w:hAnsi="Arial"/>
          <w:sz w:val="22"/>
        </w:rPr>
        <w:t xml:space="preserve"> is automatically generated and synced with the accounting system (e.g., AutoCount).</w:t>
      </w:r>
    </w:p>
    <w:p>
      <w:pPr>
        <w:pStyle w:val="5"/>
        <w:spacing w:before="240" w:after="120" w:line="288" w:lineRule="auto"/>
        <w:ind w:left="0"/>
        <w:jc w:val="left"/>
        <w:outlineLvl w:val="4"/>
      </w:pPr>
      <w:bookmarkStart w:name="heading_15" w:id="15"/>
      <w:r>
        <w:rPr>
          <w:rFonts w:eastAsia="等线" w:ascii="Arial" w:cs="Arial" w:hAnsi="Arial"/>
          <w:color w:val="3370ff"/>
          <w:sz w:val="24"/>
        </w:rPr>
        <w:t xml:space="preserve">3.1.1.1.3 </w:t>
      </w:r>
      <w:r>
        <w:rPr>
          <w:rFonts w:eastAsia="等线" w:ascii="Arial" w:cs="Arial" w:hAnsi="Arial"/>
          <w:b w:val="true"/>
          <w:sz w:val="24"/>
        </w:rPr>
        <w:t>Step 3: Inventory &amp; Stock Allocation</w:t>
      </w:r>
      <w:bookmarkEnd w:id="15"/>
    </w:p>
    <w:p>
      <w:pPr>
        <w:numPr>
          <w:numId w:val="27"/>
        </w:numPr>
        <w:spacing w:before="120" w:after="120" w:line="288" w:lineRule="auto"/>
        <w:ind w:left="0"/>
        <w:jc w:val="left"/>
      </w:pPr>
      <w:r>
        <w:rPr>
          <w:rFonts w:eastAsia="等线" w:ascii="Arial" w:cs="Arial" w:hAnsi="Arial"/>
          <w:sz w:val="22"/>
        </w:rPr>
        <w:t>The system checks stock availability using synced inventory rules and safety stock buffers.</w:t>
      </w:r>
    </w:p>
    <w:p>
      <w:pPr>
        <w:numPr>
          <w:numId w:val="28"/>
        </w:numPr>
        <w:spacing w:before="120" w:after="120" w:line="288" w:lineRule="auto"/>
        <w:ind w:left="0"/>
        <w:jc w:val="left"/>
      </w:pPr>
      <w:r>
        <w:rPr>
          <w:rFonts w:eastAsia="等线" w:ascii="Arial" w:cs="Arial" w:hAnsi="Arial"/>
          <w:sz w:val="22"/>
        </w:rPr>
        <w:t>Products are reserved or deducted from available stock depending on order confirmation.</w:t>
      </w:r>
    </w:p>
    <w:p>
      <w:pPr>
        <w:numPr>
          <w:numId w:val="29"/>
        </w:numPr>
        <w:spacing w:before="120" w:after="120" w:line="288" w:lineRule="auto"/>
        <w:ind w:left="0"/>
        <w:jc w:val="left"/>
      </w:pPr>
      <w:r>
        <w:rPr>
          <w:rFonts w:eastAsia="等线" w:ascii="Arial" w:cs="Arial" w:hAnsi="Arial"/>
          <w:sz w:val="22"/>
        </w:rPr>
        <w:t>Any low-stock or stock-out scenarios trigger system alerts for replenishment.</w:t>
      </w:r>
    </w:p>
    <w:p>
      <w:pPr>
        <w:pStyle w:val="5"/>
        <w:spacing w:before="240" w:after="120" w:line="288" w:lineRule="auto"/>
        <w:ind w:left="0"/>
        <w:jc w:val="left"/>
        <w:outlineLvl w:val="4"/>
      </w:pPr>
      <w:bookmarkStart w:name="heading_16" w:id="16"/>
      <w:r>
        <w:rPr>
          <w:rFonts w:eastAsia="等线" w:ascii="Arial" w:cs="Arial" w:hAnsi="Arial"/>
          <w:color w:val="3370ff"/>
          <w:sz w:val="24"/>
        </w:rPr>
        <w:t xml:space="preserve">3.1.1.1.4 </w:t>
      </w:r>
      <w:r>
        <w:rPr>
          <w:rFonts w:eastAsia="等线" w:ascii="Arial" w:cs="Arial" w:hAnsi="Arial"/>
          <w:b w:val="true"/>
          <w:sz w:val="24"/>
        </w:rPr>
        <w:t>Step 4: Fulfillment Preparation</w:t>
      </w:r>
      <w:bookmarkEnd w:id="16"/>
    </w:p>
    <w:p>
      <w:pPr>
        <w:numPr>
          <w:numId w:val="30"/>
        </w:numPr>
        <w:spacing w:before="120" w:after="120" w:line="288" w:lineRule="auto"/>
        <w:ind w:left="0"/>
        <w:jc w:val="left"/>
      </w:pPr>
      <w:r>
        <w:rPr>
          <w:rFonts w:eastAsia="等线" w:ascii="Arial" w:cs="Arial" w:hAnsi="Arial"/>
          <w:sz w:val="22"/>
        </w:rPr>
        <w:t xml:space="preserve">Operations teams receive a </w:t>
      </w:r>
      <w:r>
        <w:rPr>
          <w:rFonts w:eastAsia="等线" w:ascii="Arial" w:cs="Arial" w:hAnsi="Arial"/>
          <w:b w:val="true"/>
          <w:sz w:val="22"/>
        </w:rPr>
        <w:t>Picking List</w:t>
      </w:r>
      <w:r>
        <w:rPr>
          <w:rFonts w:eastAsia="等线" w:ascii="Arial" w:cs="Arial" w:hAnsi="Arial"/>
          <w:sz w:val="22"/>
        </w:rPr>
        <w:t xml:space="preserve"> that consolidates all items to be prepared.</w:t>
      </w:r>
    </w:p>
    <w:p>
      <w:pPr>
        <w:numPr>
          <w:numId w:val="31"/>
        </w:numPr>
        <w:spacing w:before="120" w:after="120" w:line="288" w:lineRule="auto"/>
        <w:ind w:left="0"/>
        <w:jc w:val="left"/>
      </w:pPr>
      <w:r>
        <w:rPr>
          <w:rFonts w:eastAsia="等线" w:ascii="Arial" w:cs="Arial" w:hAnsi="Arial"/>
          <w:sz w:val="22"/>
        </w:rPr>
        <w:t xml:space="preserve">Once items are packed, a </w:t>
      </w:r>
      <w:r>
        <w:rPr>
          <w:rFonts w:eastAsia="等线" w:ascii="Arial" w:cs="Arial" w:hAnsi="Arial"/>
          <w:b w:val="true"/>
          <w:sz w:val="22"/>
        </w:rPr>
        <w:t>Delivery Order (DO)</w:t>
      </w:r>
      <w:r>
        <w:rPr>
          <w:rFonts w:eastAsia="等线" w:ascii="Arial" w:cs="Arial" w:hAnsi="Arial"/>
          <w:sz w:val="22"/>
        </w:rPr>
        <w:t xml:space="preserve"> is generated.</w:t>
      </w:r>
    </w:p>
    <w:p>
      <w:pPr>
        <w:numPr>
          <w:numId w:val="32"/>
        </w:numPr>
        <w:spacing w:before="120" w:after="120" w:line="288" w:lineRule="auto"/>
        <w:ind w:left="0"/>
        <w:jc w:val="left"/>
      </w:pPr>
      <w:r>
        <w:rPr>
          <w:rFonts w:eastAsia="等线" w:ascii="Arial" w:cs="Arial" w:hAnsi="Arial"/>
          <w:sz w:val="22"/>
        </w:rPr>
        <w:t>Orders are then allocated to either:</w:t>
      </w:r>
    </w:p>
    <w:p>
      <w:pPr>
        <w:numPr>
          <w:numId w:val="33"/>
        </w:numPr>
        <w:spacing w:before="120" w:after="120" w:line="288" w:lineRule="auto"/>
        <w:ind w:left="453"/>
        <w:jc w:val="left"/>
      </w:pPr>
      <w:r>
        <w:rPr>
          <w:rFonts w:eastAsia="等线" w:ascii="Arial" w:cs="Arial" w:hAnsi="Arial"/>
          <w:b w:val="true"/>
          <w:sz w:val="22"/>
        </w:rPr>
        <w:t>Internal logistics/driver pool</w:t>
      </w:r>
      <w:r>
        <w:rPr>
          <w:rFonts w:eastAsia="等线" w:ascii="Arial" w:cs="Arial" w:hAnsi="Arial"/>
          <w:sz w:val="22"/>
        </w:rPr>
        <w:t xml:space="preserve"> (self-fulfillment).</w:t>
      </w:r>
    </w:p>
    <w:p>
      <w:pPr>
        <w:numPr>
          <w:numId w:val="34"/>
        </w:numPr>
        <w:spacing w:before="120" w:after="120" w:line="288" w:lineRule="auto"/>
        <w:ind w:left="453"/>
        <w:jc w:val="left"/>
      </w:pPr>
      <w:r>
        <w:rPr>
          <w:rFonts w:eastAsia="等线" w:ascii="Arial" w:cs="Arial" w:hAnsi="Arial"/>
          <w:b w:val="true"/>
          <w:sz w:val="22"/>
        </w:rPr>
        <w:t>3PL or platform-managed logistics</w:t>
      </w:r>
      <w:r>
        <w:rPr>
          <w:rFonts w:eastAsia="等线" w:ascii="Arial" w:cs="Arial" w:hAnsi="Arial"/>
          <w:sz w:val="22"/>
        </w:rPr>
        <w:t xml:space="preserve"> (e.g., Shopee Logistics, NinjaVan).</w:t>
      </w:r>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3.1.1.1.5 </w:t>
      </w:r>
      <w:r>
        <w:rPr>
          <w:rFonts w:eastAsia="等线" w:ascii="Arial" w:cs="Arial" w:hAnsi="Arial"/>
          <w:b w:val="true"/>
          <w:sz w:val="24"/>
        </w:rPr>
        <w:t>Step 5: Dispatch &amp; Delivery</w:t>
      </w:r>
      <w:bookmarkEnd w:id="17"/>
    </w:p>
    <w:p>
      <w:pPr>
        <w:numPr>
          <w:numId w:val="35"/>
        </w:numPr>
        <w:spacing w:before="120" w:after="120" w:line="288" w:lineRule="auto"/>
        <w:ind w:left="0"/>
        <w:jc w:val="left"/>
      </w:pPr>
      <w:r>
        <w:rPr>
          <w:rFonts w:eastAsia="等线" w:ascii="Arial" w:cs="Arial" w:hAnsi="Arial"/>
          <w:sz w:val="22"/>
        </w:rPr>
        <w:t>Drivers receive assigned delivery tasks via the MAIA Driver Workspace.</w:t>
      </w:r>
    </w:p>
    <w:p>
      <w:pPr>
        <w:numPr>
          <w:numId w:val="36"/>
        </w:numPr>
        <w:spacing w:before="120" w:after="120" w:line="288" w:lineRule="auto"/>
        <w:ind w:left="0"/>
        <w:jc w:val="left"/>
      </w:pPr>
      <w:r>
        <w:rPr>
          <w:rFonts w:eastAsia="等线" w:ascii="Arial" w:cs="Arial" w:hAnsi="Arial"/>
          <w:sz w:val="22"/>
        </w:rPr>
        <w:t>Proof of delivery (photo, signature, or receipt upload) is captured in real time.</w:t>
      </w:r>
    </w:p>
    <w:p>
      <w:pPr>
        <w:numPr>
          <w:numId w:val="37"/>
        </w:numPr>
        <w:spacing w:before="120" w:after="120" w:line="288" w:lineRule="auto"/>
        <w:ind w:left="0"/>
        <w:jc w:val="left"/>
      </w:pPr>
      <w:r>
        <w:rPr>
          <w:rFonts w:eastAsia="等线" w:ascii="Arial" w:cs="Arial" w:hAnsi="Arial"/>
          <w:sz w:val="22"/>
        </w:rPr>
        <w:t>Delivery status is automatically updated to “To Deliver”, “In Progress”, and “Completed”.</w:t>
      </w:r>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3.1.1.1.6 </w:t>
      </w:r>
      <w:r>
        <w:rPr>
          <w:rFonts w:eastAsia="等线" w:ascii="Arial" w:cs="Arial" w:hAnsi="Arial"/>
          <w:b w:val="true"/>
          <w:sz w:val="24"/>
        </w:rPr>
        <w:t>Step 6: Post-Fulfillment &amp; Notifications</w:t>
      </w:r>
      <w:bookmarkEnd w:id="18"/>
    </w:p>
    <w:p>
      <w:pPr>
        <w:numPr>
          <w:numId w:val="38"/>
        </w:numPr>
        <w:spacing w:before="120" w:after="120" w:line="288" w:lineRule="auto"/>
        <w:ind w:left="0"/>
        <w:jc w:val="left"/>
      </w:pPr>
      <w:r>
        <w:rPr>
          <w:rFonts w:eastAsia="等线" w:ascii="Arial" w:cs="Arial" w:hAnsi="Arial"/>
          <w:sz w:val="22"/>
        </w:rPr>
        <w:t>Customers receive automated status notifications through integrated message channels (WhatsApp, Telegram, Email, SMS).</w:t>
      </w:r>
    </w:p>
    <w:p>
      <w:pPr>
        <w:numPr>
          <w:numId w:val="39"/>
        </w:numPr>
        <w:spacing w:before="120" w:after="120" w:line="288" w:lineRule="auto"/>
        <w:ind w:left="0"/>
        <w:jc w:val="left"/>
      </w:pPr>
      <w:r>
        <w:rPr>
          <w:rFonts w:eastAsia="等线" w:ascii="Arial" w:cs="Arial" w:hAnsi="Arial"/>
          <w:sz w:val="22"/>
        </w:rPr>
        <w:t>MAIA sends reminders for recurring subscriptions, follow-ups for unpaid invoices, and notifications for stock or delivery issues.</w:t>
      </w:r>
    </w:p>
    <w:p>
      <w:pPr>
        <w:numPr>
          <w:numId w:val="40"/>
        </w:numPr>
        <w:spacing w:before="120" w:after="120" w:line="288" w:lineRule="auto"/>
        <w:ind w:left="0"/>
        <w:jc w:val="left"/>
      </w:pPr>
      <w:r>
        <w:rPr>
          <w:rFonts w:eastAsia="等线" w:ascii="Arial" w:cs="Arial" w:hAnsi="Arial"/>
          <w:b w:val="true"/>
          <w:sz w:val="22"/>
        </w:rPr>
        <w:t>Receipt &amp; Payment Voucher</w:t>
      </w:r>
      <w:r>
        <w:rPr>
          <w:rFonts w:eastAsia="等线" w:ascii="Arial" w:cs="Arial" w:hAnsi="Arial"/>
          <w:sz w:val="22"/>
        </w:rPr>
        <w:t xml:space="preserve"> records are finalized in the system.</w:t>
      </w:r>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3.1.1.1.7 </w:t>
      </w:r>
      <w:r>
        <w:rPr>
          <w:rFonts w:eastAsia="等线" w:ascii="Arial" w:cs="Arial" w:hAnsi="Arial"/>
          <w:b w:val="true"/>
          <w:sz w:val="24"/>
        </w:rPr>
        <w:t>Step 7: Accounting &amp; Reconciliation</w:t>
      </w:r>
      <w:bookmarkEnd w:id="19"/>
    </w:p>
    <w:p>
      <w:pPr>
        <w:numPr>
          <w:numId w:val="41"/>
        </w:numPr>
        <w:spacing w:before="120" w:after="120" w:line="288" w:lineRule="auto"/>
        <w:ind w:left="0"/>
        <w:jc w:val="left"/>
      </w:pPr>
      <w:r>
        <w:rPr>
          <w:rFonts w:eastAsia="等线" w:ascii="Arial" w:cs="Arial" w:hAnsi="Arial"/>
          <w:sz w:val="22"/>
        </w:rPr>
        <w:t>All finalized documents (Invoices, Receipts, Credit Notes, Payment Vouchers) are synced to AutoCount during nightly EOD sync.</w:t>
      </w:r>
    </w:p>
    <w:p>
      <w:pPr>
        <w:numPr>
          <w:numId w:val="42"/>
        </w:numPr>
        <w:spacing w:before="120" w:after="120" w:line="288" w:lineRule="auto"/>
        <w:ind w:left="0"/>
        <w:jc w:val="left"/>
      </w:pPr>
      <w:r>
        <w:rPr>
          <w:rFonts w:eastAsia="等线" w:ascii="Arial" w:cs="Arial" w:hAnsi="Arial"/>
          <w:sz w:val="22"/>
        </w:rPr>
        <w:t>Finance teams can track outstanding payments, reconcile bank transfers, and manage credit terms directly from the accounting integration.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3.2 </w:t>
      </w:r>
      <w:r>
        <w:rPr>
          <w:rFonts w:eastAsia="等线" w:ascii="Arial" w:cs="Arial" w:hAnsi="Arial"/>
          <w:b w:val="true"/>
          <w:sz w:val="32"/>
        </w:rPr>
        <w:t>Business Process Tracking</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3.2.1 </w:t>
      </w:r>
      <w:r>
        <w:rPr>
          <w:rFonts w:eastAsia="等线" w:ascii="Arial" w:cs="Arial" w:hAnsi="Arial"/>
          <w:b w:val="true"/>
          <w:sz w:val="30"/>
        </w:rPr>
        <w:t>Sales Channel Onboarding</w:t>
      </w:r>
      <w:bookmarkEnd w:id="21"/>
    </w:p>
    <w:p>
      <w:pPr>
        <w:spacing w:before="120" w:after="120" w:line="288" w:lineRule="auto"/>
        <w:ind w:left="0"/>
        <w:jc w:val="left"/>
      </w:pPr>
      <w:r>
        <w:rPr>
          <w:rFonts w:eastAsia="等线" w:ascii="Arial" w:cs="Arial" w:hAnsi="Arial"/>
          <w:sz w:val="22"/>
        </w:rPr>
        <w:t>MAIA provides seamless integration with multiple sales platforms, allowing businesses to centralize operations across different channels.</w:t>
      </w:r>
    </w:p>
    <w:p>
      <w:pPr>
        <w:spacing w:before="120" w:after="120" w:line="288" w:lineRule="auto"/>
        <w:ind w:left="0"/>
        <w:jc w:val="left"/>
      </w:pPr>
      <w:r>
        <w:rPr>
          <w:rFonts w:eastAsia="等线" w:ascii="Arial" w:cs="Arial" w:hAnsi="Arial"/>
          <w:b w:val="true"/>
          <w:sz w:val="22"/>
        </w:rPr>
        <w:t>Supported Channels</w:t>
      </w:r>
      <w:r>
        <w:rPr>
          <w:rFonts w:eastAsia="等线" w:ascii="Arial" w:cs="Arial" w:hAnsi="Arial"/>
          <w:sz w:val="22"/>
        </w:rPr>
        <w:t>: Shopee</w:t>
      </w:r>
      <w:r>
        <w:rPr>
          <w:rFonts w:eastAsia="等线" w:ascii="Arial" w:cs="Arial" w:hAnsi="Arial"/>
          <w:sz w:val="22"/>
        </w:rPr>
        <w:t>*</w:t>
      </w:r>
      <w:r>
        <w:rPr>
          <w:rFonts w:eastAsia="等线" w:ascii="Arial" w:cs="Arial" w:hAnsi="Arial"/>
          <w:sz w:val="22"/>
        </w:rPr>
        <w:t>, Lazada</w:t>
      </w:r>
      <w:r>
        <w:rPr>
          <w:rFonts w:eastAsia="等线" w:ascii="Arial" w:cs="Arial" w:hAnsi="Arial"/>
          <w:sz w:val="22"/>
        </w:rPr>
        <w:t>*</w:t>
      </w:r>
      <w:r>
        <w:rPr>
          <w:rFonts w:eastAsia="等线" w:ascii="Arial" w:cs="Arial" w:hAnsi="Arial"/>
          <w:sz w:val="22"/>
        </w:rPr>
        <w:t>, TikTok</w:t>
      </w:r>
      <w:r>
        <w:rPr>
          <w:rFonts w:eastAsia="等线" w:ascii="Arial" w:cs="Arial" w:hAnsi="Arial"/>
          <w:sz w:val="22"/>
        </w:rPr>
        <w:t>*</w:t>
      </w:r>
      <w:r>
        <w:rPr>
          <w:rFonts w:eastAsia="等线" w:ascii="Arial" w:cs="Arial" w:hAnsi="Arial"/>
          <w:sz w:val="22"/>
        </w:rPr>
        <w:t>, Shopify</w:t>
      </w:r>
      <w:r>
        <w:rPr>
          <w:rFonts w:eastAsia="等线" w:ascii="Arial" w:cs="Arial" w:hAnsi="Arial"/>
          <w:sz w:val="22"/>
        </w:rPr>
        <w:t>*</w:t>
      </w:r>
      <w:r>
        <w:rPr>
          <w:rFonts w:eastAsia="等线" w:ascii="Arial" w:cs="Arial" w:hAnsi="Arial"/>
          <w:sz w:val="22"/>
        </w:rPr>
        <w:t>, WooCommerce, B2B, and other web-based platforms.</w:t>
      </w:r>
    </w:p>
    <w:p>
      <w:pPr>
        <w:spacing w:before="120" w:after="120" w:line="288" w:lineRule="auto"/>
        <w:ind w:left="0"/>
        <w:jc w:val="left"/>
      </w:pPr>
      <w:r>
        <w:rPr>
          <w:rFonts w:eastAsia="等线" w:ascii="Arial" w:cs="Arial" w:hAnsi="Arial"/>
          <w:b w:val="true"/>
          <w:sz w:val="22"/>
        </w:rPr>
        <w:t>Onboarding Steps</w:t>
      </w:r>
      <w:r>
        <w:rPr>
          <w:rFonts w:eastAsia="等线" w:ascii="Arial" w:cs="Arial" w:hAnsi="Arial"/>
          <w:sz w:val="22"/>
        </w:rPr>
        <w:t>:</w:t>
      </w:r>
    </w:p>
    <w:p>
      <w:pPr>
        <w:numPr>
          <w:numId w:val="43"/>
        </w:numPr>
        <w:spacing w:before="120" w:after="120" w:line="288" w:lineRule="auto"/>
        <w:ind w:left="0"/>
        <w:jc w:val="left"/>
      </w:pPr>
      <w:r>
        <w:rPr>
          <w:rFonts w:eastAsia="等线" w:ascii="Arial" w:cs="Arial" w:hAnsi="Arial"/>
          <w:b w:val="true"/>
          <w:sz w:val="22"/>
        </w:rPr>
        <w:t>Company Setup</w:t>
      </w:r>
      <w:r>
        <w:rPr>
          <w:rFonts w:eastAsia="等线" w:ascii="Arial" w:cs="Arial" w:hAnsi="Arial"/>
          <w:sz w:val="22"/>
        </w:rPr>
        <w:t>: Configure company details including name, address, business registration number/tax ID, logo, default currency, timezone, invoice configurations, and optional accounting integrations.</w:t>
      </w:r>
    </w:p>
    <w:p>
      <w:pPr>
        <w:numPr>
          <w:numId w:val="44"/>
        </w:numPr>
        <w:spacing w:before="120" w:after="120" w:line="288" w:lineRule="auto"/>
        <w:ind w:left="0"/>
        <w:jc w:val="left"/>
      </w:pPr>
      <w:r>
        <w:rPr>
          <w:rFonts w:eastAsia="等线" w:ascii="Arial" w:cs="Arial" w:hAnsi="Arial"/>
          <w:b w:val="true"/>
          <w:sz w:val="22"/>
        </w:rPr>
        <w:t>Sales Channel Setup</w:t>
      </w:r>
      <w:r>
        <w:rPr>
          <w:rFonts w:eastAsia="等线" w:ascii="Arial" w:cs="Arial" w:hAnsi="Arial"/>
          <w:sz w:val="22"/>
        </w:rPr>
        <w:t>: Connect and configure multiple accounts per platform.</w:t>
      </w:r>
    </w:p>
    <w:p>
      <w:pPr>
        <w:numPr>
          <w:numId w:val="45"/>
        </w:numPr>
        <w:spacing w:before="120" w:after="120" w:line="288" w:lineRule="auto"/>
        <w:ind w:left="453"/>
        <w:jc w:val="left"/>
      </w:pPr>
      <w:r>
        <w:rPr>
          <w:rFonts w:eastAsia="等线" w:ascii="Arial" w:cs="Arial" w:hAnsi="Arial"/>
          <w:sz w:val="22"/>
        </w:rPr>
        <w:t>Platform selection (Shopee, Lazada, etc.)</w:t>
      </w:r>
    </w:p>
    <w:p>
      <w:pPr>
        <w:numPr>
          <w:numId w:val="46"/>
        </w:numPr>
        <w:spacing w:before="120" w:after="120" w:line="288" w:lineRule="auto"/>
        <w:ind w:left="453"/>
        <w:jc w:val="left"/>
      </w:pPr>
      <w:r>
        <w:rPr>
          <w:rFonts w:eastAsia="等线" w:ascii="Arial" w:cs="Arial" w:hAnsi="Arial"/>
          <w:sz w:val="22"/>
        </w:rPr>
        <w:t>Account nickname and login method (API key / OAuth)</w:t>
      </w:r>
    </w:p>
    <w:p>
      <w:pPr>
        <w:numPr>
          <w:numId w:val="47"/>
        </w:numPr>
        <w:spacing w:before="120" w:after="120" w:line="288" w:lineRule="auto"/>
        <w:ind w:left="453"/>
        <w:jc w:val="left"/>
      </w:pPr>
      <w:r>
        <w:rPr>
          <w:rFonts w:eastAsia="等线" w:ascii="Arial" w:cs="Arial" w:hAnsi="Arial"/>
          <w:sz w:val="22"/>
        </w:rPr>
        <w:t>Sync rules for orders, inventory, and customers (real-time or scheduled).</w:t>
      </w:r>
    </w:p>
    <w:p>
      <w:pPr>
        <w:numPr>
          <w:numId w:val="48"/>
        </w:numPr>
        <w:spacing w:before="120" w:after="120" w:line="288" w:lineRule="auto"/>
        <w:ind w:left="453"/>
        <w:jc w:val="left"/>
      </w:pPr>
      <w:r>
        <w:rPr>
          <w:rFonts w:eastAsia="等线" w:ascii="Arial" w:cs="Arial" w:hAnsi="Arial"/>
          <w:sz w:val="22"/>
        </w:rPr>
        <w:t>SKU mapping and alignment.</w:t>
      </w:r>
    </w:p>
    <w:p>
      <w:pPr>
        <w:numPr>
          <w:numId w:val="49"/>
        </w:numPr>
        <w:spacing w:before="120" w:after="120" w:line="288" w:lineRule="auto"/>
        <w:ind w:left="0"/>
        <w:jc w:val="left"/>
      </w:pPr>
      <w:r>
        <w:rPr>
          <w:rFonts w:eastAsia="等线" w:ascii="Arial" w:cs="Arial" w:hAnsi="Arial"/>
          <w:b w:val="true"/>
          <w:sz w:val="22"/>
        </w:rPr>
        <w:t>Outlet Mapping</w:t>
      </w:r>
      <w:r>
        <w:rPr>
          <w:rFonts w:eastAsia="等线" w:ascii="Arial" w:cs="Arial" w:hAnsi="Arial"/>
          <w:sz w:val="22"/>
        </w:rPr>
        <w:t>: Each connected sales channel is treated as an “outlet” within MAIA.</w:t>
      </w:r>
    </w:p>
    <w:p>
      <w:pPr>
        <w:numPr>
          <w:numId w:val="50"/>
        </w:numPr>
        <w:spacing w:before="120" w:after="120" w:line="288" w:lineRule="auto"/>
        <w:ind w:left="453"/>
        <w:jc w:val="left"/>
      </w:pPr>
      <w:r>
        <w:rPr>
          <w:rFonts w:eastAsia="等线" w:ascii="Arial" w:cs="Arial" w:hAnsi="Arial"/>
          <w:sz w:val="22"/>
        </w:rPr>
        <w:t>Assign outlet name/code, business unit, operating hours, and cutoff times.</w:t>
      </w:r>
    </w:p>
    <w:p>
      <w:pPr>
        <w:numPr>
          <w:numId w:val="51"/>
        </w:numPr>
        <w:spacing w:before="120" w:after="120" w:line="288" w:lineRule="auto"/>
        <w:ind w:left="453"/>
        <w:jc w:val="left"/>
      </w:pPr>
      <w:r>
        <w:rPr>
          <w:rFonts w:eastAsia="等线" w:ascii="Arial" w:cs="Arial" w:hAnsi="Arial"/>
          <w:sz w:val="22"/>
        </w:rPr>
        <w:t>Configure stock location mapping and fulfillment logic (self-fulfill, 3PL, or platform logistics).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Note: Sales channel support for Shopee and Lazada is planned for future releases</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3.2.2 </w:t>
      </w:r>
      <w:r>
        <w:rPr>
          <w:rFonts w:eastAsia="等线" w:ascii="Arial" w:cs="Arial" w:hAnsi="Arial"/>
          <w:b w:val="true"/>
          <w:sz w:val="30"/>
        </w:rPr>
        <w:t>Customer Communication Channels</w:t>
      </w:r>
      <w:bookmarkEnd w:id="22"/>
    </w:p>
    <w:p>
      <w:pPr>
        <w:spacing w:before="120" w:after="120" w:line="288" w:lineRule="auto"/>
        <w:ind w:left="0"/>
        <w:jc w:val="left"/>
      </w:pPr>
      <w:r>
        <w:rPr>
          <w:rFonts w:eastAsia="等线" w:ascii="Arial" w:cs="Arial" w:hAnsi="Arial"/>
          <w:sz w:val="22"/>
        </w:rPr>
        <w:t>To ensure consistent interaction with customers, MAIA allows configuration of multiple communication platforms.</w:t>
      </w:r>
    </w:p>
    <w:p>
      <w:pPr>
        <w:numPr>
          <w:numId w:val="52"/>
        </w:numPr>
        <w:spacing w:before="120" w:after="120" w:line="288" w:lineRule="auto"/>
        <w:ind w:left="0"/>
        <w:jc w:val="left"/>
      </w:pPr>
      <w:r>
        <w:rPr>
          <w:rFonts w:eastAsia="等线" w:ascii="Arial" w:cs="Arial" w:hAnsi="Arial"/>
          <w:b w:val="true"/>
          <w:sz w:val="22"/>
        </w:rPr>
        <w:t>Supported Channels</w:t>
      </w:r>
      <w:r>
        <w:rPr>
          <w:rFonts w:eastAsia="等线" w:ascii="Arial" w:cs="Arial" w:hAnsi="Arial"/>
          <w:sz w:val="22"/>
        </w:rPr>
        <w:t>: WhatsApp, Telegram, SMS, Email, in-app chat.</w:t>
      </w:r>
    </w:p>
    <w:p>
      <w:pPr>
        <w:numPr>
          <w:numId w:val="53"/>
        </w:numPr>
        <w:spacing w:before="120" w:after="120" w:line="288" w:lineRule="auto"/>
        <w:ind w:left="0"/>
        <w:jc w:val="left"/>
      </w:pPr>
      <w:r>
        <w:rPr>
          <w:rFonts w:eastAsia="等线" w:ascii="Arial" w:cs="Arial" w:hAnsi="Arial"/>
          <w:b w:val="true"/>
          <w:sz w:val="22"/>
        </w:rPr>
        <w:t>Configuration</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sz w:val="22"/>
        </w:rPr>
        <w:t>Connect via integrations (e.g., WhatsApp Cloud API, Twilio).</w:t>
      </w:r>
    </w:p>
    <w:p>
      <w:pPr>
        <w:numPr>
          <w:numId w:val="55"/>
        </w:numPr>
        <w:spacing w:before="120" w:after="120" w:line="288" w:lineRule="auto"/>
        <w:ind w:left="453"/>
        <w:jc w:val="left"/>
      </w:pPr>
      <w:r>
        <w:rPr>
          <w:rFonts w:eastAsia="等线" w:ascii="Arial" w:cs="Arial" w:hAnsi="Arial"/>
          <w:sz w:val="22"/>
        </w:rPr>
        <w:t>Define default notification templates (e.g., order confirmed, out for delivery).</w:t>
      </w:r>
    </w:p>
    <w:p>
      <w:pPr>
        <w:numPr>
          <w:numId w:val="56"/>
        </w:numPr>
        <w:spacing w:before="120" w:after="120" w:line="288" w:lineRule="auto"/>
        <w:ind w:left="453"/>
        <w:jc w:val="left"/>
      </w:pPr>
      <w:r>
        <w:rPr>
          <w:rFonts w:eastAsia="等线" w:ascii="Arial" w:cs="Arial" w:hAnsi="Arial"/>
          <w:sz w:val="22"/>
        </w:rPr>
        <w:t>Establish escalation rules to live agents for unresolved cases.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3.2.3 </w:t>
      </w:r>
      <w:r>
        <w:rPr>
          <w:rFonts w:eastAsia="等线" w:ascii="Arial" w:cs="Arial" w:hAnsi="Arial"/>
          <w:b w:val="true"/>
          <w:sz w:val="30"/>
        </w:rPr>
        <w:t>User &amp; Role Management</w:t>
      </w:r>
      <w:bookmarkEnd w:id="23"/>
    </w:p>
    <w:p>
      <w:pPr>
        <w:spacing w:before="120" w:after="120" w:line="288" w:lineRule="auto"/>
        <w:ind w:left="0"/>
        <w:jc w:val="left"/>
      </w:pPr>
      <w:r>
        <w:rPr>
          <w:rFonts w:eastAsia="等线" w:ascii="Arial" w:cs="Arial" w:hAnsi="Arial"/>
          <w:sz w:val="22"/>
        </w:rPr>
        <w:t>Role-based access ensures accountability and proper segregation of duties.</w:t>
      </w:r>
    </w:p>
    <w:p>
      <w:pPr>
        <w:numPr>
          <w:numId w:val="57"/>
        </w:numPr>
        <w:spacing w:before="120" w:after="120" w:line="288" w:lineRule="auto"/>
        <w:ind w:left="0"/>
        <w:jc w:val="left"/>
      </w:pPr>
      <w:r>
        <w:rPr>
          <w:rFonts w:eastAsia="等线" w:ascii="Arial" w:cs="Arial" w:hAnsi="Arial"/>
          <w:b w:val="true"/>
          <w:sz w:val="22"/>
        </w:rPr>
        <w:t>User Setup</w:t>
      </w:r>
      <w:r>
        <w:rPr>
          <w:rFonts w:eastAsia="等线" w:ascii="Arial" w:cs="Arial" w:hAnsi="Arial"/>
          <w:sz w:val="22"/>
        </w:rPr>
        <w:t>: Add team members with defined roles.</w:t>
      </w:r>
    </w:p>
    <w:p>
      <w:pPr>
        <w:numPr>
          <w:numId w:val="58"/>
        </w:numPr>
        <w:spacing w:before="120" w:after="120" w:line="288" w:lineRule="auto"/>
        <w:ind w:left="0"/>
        <w:jc w:val="left"/>
      </w:pPr>
      <w:r>
        <w:rPr>
          <w:rFonts w:eastAsia="等线" w:ascii="Arial" w:cs="Arial" w:hAnsi="Arial"/>
          <w:b w:val="true"/>
          <w:sz w:val="22"/>
        </w:rPr>
        <w:t>Roles Supported</w:t>
      </w:r>
      <w:r>
        <w:rPr>
          <w:rFonts w:eastAsia="等线" w:ascii="Arial" w:cs="Arial" w:hAnsi="Arial"/>
          <w:sz w:val="22"/>
        </w:rPr>
        <w:t>: Admin, Order Manager, Fulfillment Staff, Driver.</w:t>
      </w:r>
    </w:p>
    <w:p>
      <w:pPr>
        <w:numPr>
          <w:numId w:val="59"/>
        </w:numPr>
        <w:spacing w:before="120" w:after="120" w:line="288" w:lineRule="auto"/>
        <w:ind w:left="0"/>
        <w:jc w:val="left"/>
      </w:pPr>
      <w:r>
        <w:rPr>
          <w:rFonts w:eastAsia="等线" w:ascii="Arial" w:cs="Arial" w:hAnsi="Arial"/>
          <w:b w:val="true"/>
          <w:sz w:val="22"/>
        </w:rPr>
        <w:t>Access Control</w:t>
      </w:r>
      <w:r>
        <w:rPr>
          <w:rFonts w:eastAsia="等线" w:ascii="Arial" w:cs="Arial" w:hAnsi="Arial"/>
          <w:sz w:val="22"/>
        </w:rPr>
        <w:t>: Configure outlet/company access rights per role.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3.2.4 </w:t>
      </w:r>
      <w:r>
        <w:rPr>
          <w:rFonts w:eastAsia="等线" w:ascii="Arial" w:cs="Arial" w:hAnsi="Arial"/>
          <w:b w:val="true"/>
          <w:sz w:val="30"/>
        </w:rPr>
        <w:t>Product &amp; Inventory Setup</w:t>
      </w:r>
      <w:bookmarkEnd w:id="24"/>
    </w:p>
    <w:p>
      <w:pPr>
        <w:spacing w:before="120" w:after="120" w:line="288" w:lineRule="auto"/>
        <w:ind w:left="0"/>
        <w:jc w:val="left"/>
      </w:pPr>
      <w:r>
        <w:rPr>
          <w:rFonts w:eastAsia="等线" w:ascii="Arial" w:cs="Arial" w:hAnsi="Arial"/>
          <w:sz w:val="22"/>
        </w:rPr>
        <w:t>Centralized product and inventory configuration ensures consistency across all connected channels.</w:t>
      </w:r>
    </w:p>
    <w:p>
      <w:pPr>
        <w:numPr>
          <w:numId w:val="60"/>
        </w:numPr>
        <w:spacing w:before="120" w:after="120" w:line="288" w:lineRule="auto"/>
        <w:ind w:left="0"/>
        <w:jc w:val="left"/>
      </w:pPr>
      <w:r>
        <w:rPr>
          <w:rFonts w:eastAsia="等线" w:ascii="Arial" w:cs="Arial" w:hAnsi="Arial"/>
          <w:b w:val="true"/>
          <w:sz w:val="22"/>
        </w:rPr>
        <w:t>Product Import</w:t>
      </w:r>
      <w:r>
        <w:rPr>
          <w:rFonts w:eastAsia="等线" w:ascii="Arial" w:cs="Arial" w:hAnsi="Arial"/>
          <w:sz w:val="22"/>
        </w:rPr>
        <w:t>: From ERP system of record (e.g., ERPNext) or via reverse sync from channels.</w:t>
      </w:r>
    </w:p>
    <w:p>
      <w:pPr>
        <w:numPr>
          <w:numId w:val="61"/>
        </w:numPr>
        <w:spacing w:before="120" w:after="120" w:line="288" w:lineRule="auto"/>
        <w:ind w:left="0"/>
        <w:jc w:val="left"/>
      </w:pPr>
      <w:r>
        <w:rPr>
          <w:rFonts w:eastAsia="等线" w:ascii="Arial" w:cs="Arial" w:hAnsi="Arial"/>
          <w:b w:val="true"/>
          <w:sz w:val="22"/>
        </w:rPr>
        <w:t>Inventory Sync Rules</w:t>
      </w:r>
      <w:r>
        <w:rPr>
          <w:rFonts w:eastAsia="等线" w:ascii="Arial" w:cs="Arial" w:hAnsi="Arial"/>
          <w:sz w:val="22"/>
        </w:rPr>
        <w:t>: Define outlet sync rules and safety stock parameters.</w:t>
      </w:r>
    </w:p>
    <w:p>
      <w:pPr>
        <w:numPr>
          <w:numId w:val="62"/>
        </w:numPr>
        <w:spacing w:before="120" w:after="120" w:line="288" w:lineRule="auto"/>
        <w:ind w:left="0"/>
        <w:jc w:val="left"/>
      </w:pPr>
      <w:r>
        <w:rPr>
          <w:rFonts w:eastAsia="等线" w:ascii="Arial" w:cs="Arial" w:hAnsi="Arial"/>
          <w:b w:val="true"/>
          <w:sz w:val="22"/>
        </w:rPr>
        <w:t>SKU Linking</w:t>
      </w:r>
      <w:r>
        <w:rPr>
          <w:rFonts w:eastAsia="等线" w:ascii="Arial" w:cs="Arial" w:hAnsi="Arial"/>
          <w:sz w:val="22"/>
        </w:rPr>
        <w:t>: Map platform SKUs to internal SKUs for accurate reconciliation.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3.2.5 </w:t>
      </w:r>
      <w:r>
        <w:rPr>
          <w:rFonts w:eastAsia="等线" w:ascii="Arial" w:cs="Arial" w:hAnsi="Arial"/>
          <w:b w:val="true"/>
          <w:sz w:val="30"/>
        </w:rPr>
        <w:t>Logistics &amp; Fulfillment</w:t>
      </w:r>
      <w:bookmarkEnd w:id="25"/>
    </w:p>
    <w:p>
      <w:pPr>
        <w:spacing w:before="120" w:after="120" w:line="288" w:lineRule="auto"/>
        <w:ind w:left="0"/>
        <w:jc w:val="left"/>
      </w:pPr>
      <w:r>
        <w:rPr>
          <w:rFonts w:eastAsia="等线" w:ascii="Arial" w:cs="Arial" w:hAnsi="Arial"/>
          <w:sz w:val="22"/>
        </w:rPr>
        <w:t>MAIA supports both self-managed fulfillment and external integrations.</w:t>
      </w:r>
    </w:p>
    <w:p>
      <w:pPr>
        <w:numPr>
          <w:numId w:val="63"/>
        </w:numPr>
        <w:spacing w:before="120" w:after="120" w:line="288" w:lineRule="auto"/>
        <w:ind w:left="0"/>
        <w:jc w:val="left"/>
      </w:pPr>
      <w:r>
        <w:rPr>
          <w:rFonts w:eastAsia="等线" w:ascii="Arial" w:cs="Arial" w:hAnsi="Arial"/>
          <w:b w:val="true"/>
          <w:sz w:val="22"/>
        </w:rPr>
        <w:t>Self-Fulfillment</w:t>
      </w:r>
      <w:r>
        <w:rPr>
          <w:rFonts w:eastAsia="等线" w:ascii="Arial" w:cs="Arial" w:hAnsi="Arial"/>
          <w:sz w:val="22"/>
        </w:rPr>
        <w:t>:</w:t>
      </w:r>
    </w:p>
    <w:p>
      <w:pPr>
        <w:numPr>
          <w:numId w:val="64"/>
        </w:numPr>
        <w:spacing w:before="120" w:after="120" w:line="288" w:lineRule="auto"/>
        <w:ind w:left="453"/>
        <w:jc w:val="left"/>
      </w:pPr>
      <w:r>
        <w:rPr>
          <w:rFonts w:eastAsia="等线" w:ascii="Arial" w:cs="Arial" w:hAnsi="Arial"/>
          <w:sz w:val="22"/>
        </w:rPr>
        <w:t>Assign internal driver pools.</w:t>
      </w:r>
    </w:p>
    <w:p>
      <w:pPr>
        <w:numPr>
          <w:numId w:val="65"/>
        </w:numPr>
        <w:spacing w:before="120" w:after="120" w:line="288" w:lineRule="auto"/>
        <w:ind w:left="453"/>
        <w:jc w:val="left"/>
      </w:pPr>
      <w:r>
        <w:rPr>
          <w:rFonts w:eastAsia="等线" w:ascii="Arial" w:cs="Arial" w:hAnsi="Arial"/>
          <w:sz w:val="22"/>
        </w:rPr>
        <w:t>Enable proof-of-delivery (POD) and proof-of-payment (POP) uploads.</w:t>
      </w:r>
    </w:p>
    <w:p>
      <w:pPr>
        <w:numPr>
          <w:numId w:val="66"/>
        </w:numPr>
        <w:spacing w:before="120" w:after="120" w:line="288" w:lineRule="auto"/>
        <w:ind w:left="0"/>
        <w:jc w:val="left"/>
      </w:pPr>
      <w:r>
        <w:rPr>
          <w:rFonts w:eastAsia="等线" w:ascii="Arial" w:cs="Arial" w:hAnsi="Arial"/>
          <w:b w:val="true"/>
          <w:sz w:val="22"/>
        </w:rPr>
        <w:t>3PL Integrations</w:t>
      </w:r>
      <w:r>
        <w:rPr>
          <w:rFonts w:eastAsia="等线" w:ascii="Arial" w:cs="Arial" w:hAnsi="Arial"/>
          <w:sz w:val="22"/>
        </w:rPr>
        <w:t>: Connect to external providers such as NinjaVan or J&amp;T.</w:t>
      </w:r>
    </w:p>
    <w:p>
      <w:pPr>
        <w:numPr>
          <w:numId w:val="67"/>
        </w:numPr>
        <w:spacing w:before="120" w:after="120" w:line="288" w:lineRule="auto"/>
        <w:ind w:left="0"/>
        <w:jc w:val="left"/>
      </w:pPr>
      <w:r>
        <w:rPr>
          <w:rFonts w:eastAsia="等线" w:ascii="Arial" w:cs="Arial" w:hAnsi="Arial"/>
          <w:b w:val="true"/>
          <w:sz w:val="22"/>
        </w:rPr>
        <w:t>Platform Fulfillment</w:t>
      </w:r>
      <w:r>
        <w:rPr>
          <w:rFonts w:eastAsia="等线" w:ascii="Arial" w:cs="Arial" w:hAnsi="Arial"/>
          <w:sz w:val="22"/>
        </w:rPr>
        <w:t>: Support “Fulfilled by Platform” services (Shopee, Lazada) and third-party warehouses.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3.2.6 </w:t>
      </w:r>
      <w:r>
        <w:rPr>
          <w:rFonts w:eastAsia="等线" w:ascii="Arial" w:cs="Arial" w:hAnsi="Arial"/>
          <w:b w:val="true"/>
          <w:sz w:val="30"/>
        </w:rPr>
        <w:t>Payments &amp; Accounting</w:t>
      </w:r>
      <w:bookmarkEnd w:id="26"/>
    </w:p>
    <w:p>
      <w:pPr>
        <w:spacing w:before="120" w:after="120" w:line="288" w:lineRule="auto"/>
        <w:ind w:left="0"/>
        <w:jc w:val="left"/>
      </w:pPr>
      <w:r>
        <w:rPr>
          <w:rFonts w:eastAsia="等线" w:ascii="Arial" w:cs="Arial" w:hAnsi="Arial"/>
          <w:sz w:val="22"/>
        </w:rPr>
        <w:t>Payment collection and financial reconciliation are streamlined through integration and automation.</w:t>
      </w:r>
    </w:p>
    <w:p>
      <w:pPr>
        <w:numPr>
          <w:numId w:val="68"/>
        </w:numPr>
        <w:spacing w:before="120" w:after="120" w:line="288" w:lineRule="auto"/>
        <w:ind w:left="0"/>
        <w:jc w:val="left"/>
      </w:pPr>
      <w:r>
        <w:rPr>
          <w:rFonts w:eastAsia="等线" w:ascii="Arial" w:cs="Arial" w:hAnsi="Arial"/>
          <w:b w:val="true"/>
          <w:sz w:val="22"/>
        </w:rPr>
        <w:t>Payment Gateway Integration</w:t>
      </w:r>
      <w:r>
        <w:rPr>
          <w:rFonts w:eastAsia="等线" w:ascii="Arial" w:cs="Arial" w:hAnsi="Arial"/>
          <w:sz w:val="22"/>
        </w:rPr>
        <w:t>: Connect to FPX, e-wallets, or card processors to collect payout and reconcile reports.</w:t>
      </w:r>
    </w:p>
    <w:p>
      <w:pPr>
        <w:numPr>
          <w:numId w:val="69"/>
        </w:numPr>
        <w:spacing w:before="120" w:after="120" w:line="288" w:lineRule="auto"/>
        <w:ind w:left="0"/>
        <w:jc w:val="left"/>
      </w:pPr>
      <w:r>
        <w:rPr>
          <w:rFonts w:eastAsia="等线" w:ascii="Arial" w:cs="Arial" w:hAnsi="Arial"/>
          <w:b w:val="true"/>
          <w:sz w:val="22"/>
        </w:rPr>
        <w:t>Bank Transfer Handling</w:t>
      </w:r>
      <w:r>
        <w:rPr>
          <w:rFonts w:eastAsia="等线" w:ascii="Arial" w:cs="Arial" w:hAnsi="Arial"/>
          <w:sz w:val="22"/>
        </w:rPr>
        <w:t>: Manage manual bank transfers with proof-of-payment uploads and validation workflows.</w:t>
      </w:r>
    </w:p>
    <w:p>
      <w:pPr>
        <w:numPr>
          <w:numId w:val="70"/>
        </w:numPr>
        <w:spacing w:before="120" w:after="120" w:line="288" w:lineRule="auto"/>
        <w:ind w:left="0"/>
        <w:jc w:val="left"/>
      </w:pPr>
      <w:r>
        <w:rPr>
          <w:rFonts w:eastAsia="等线" w:ascii="Arial" w:cs="Arial" w:hAnsi="Arial"/>
          <w:b w:val="true"/>
          <w:sz w:val="22"/>
        </w:rPr>
        <w:t>Invoicing Rules</w:t>
      </w:r>
      <w:r>
        <w:rPr>
          <w:rFonts w:eastAsia="等线" w:ascii="Arial" w:cs="Arial" w:hAnsi="Arial"/>
          <w:sz w:val="22"/>
        </w:rPr>
        <w:t>: Automatically generate invoices based on sales channel, with flexible formats and payment terms.</w:t>
      </w:r>
    </w:p>
    <w:p>
      <w:pPr>
        <w:numPr>
          <w:numId w:val="71"/>
        </w:numPr>
        <w:spacing w:before="120" w:after="120" w:line="288" w:lineRule="auto"/>
        <w:ind w:left="0"/>
        <w:jc w:val="left"/>
      </w:pPr>
      <w:r>
        <w:rPr>
          <w:rFonts w:eastAsia="等线" w:ascii="Arial" w:cs="Arial" w:hAnsi="Arial"/>
          <w:b w:val="true"/>
          <w:sz w:val="22"/>
        </w:rPr>
        <w:t>Accounting Integration</w:t>
      </w:r>
      <w:r>
        <w:rPr>
          <w:rFonts w:eastAsia="等线" w:ascii="Arial" w:cs="Arial" w:hAnsi="Arial"/>
          <w:sz w:val="22"/>
        </w:rPr>
        <w:t>: Sync invoices, receipts, and payment data with accounting systems such as AutoCount.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3.3 </w:t>
      </w:r>
      <w:r>
        <w:rPr>
          <w:rFonts w:eastAsia="等线" w:ascii="Arial" w:cs="Arial" w:hAnsi="Arial"/>
          <w:b w:val="true"/>
          <w:sz w:val="32"/>
        </w:rPr>
        <w:t>User Workspaces</w:t>
      </w:r>
      <w:bookmarkEnd w:id="27"/>
    </w:p>
    <w:p>
      <w:pPr>
        <w:spacing w:before="120" w:after="120" w:line="288" w:lineRule="auto"/>
        <w:ind w:left="0"/>
        <w:jc w:val="left"/>
      </w:pPr>
      <w:r>
        <w:rPr>
          <w:rFonts w:eastAsia="等线" w:ascii="Arial" w:cs="Arial" w:hAnsi="Arial"/>
          <w:sz w:val="22"/>
        </w:rPr>
        <w:t xml:space="preserve">MAIA provides </w:t>
      </w:r>
      <w:r>
        <w:rPr>
          <w:rFonts w:eastAsia="等线" w:ascii="Arial" w:cs="Arial" w:hAnsi="Arial"/>
          <w:b w:val="true"/>
          <w:sz w:val="22"/>
        </w:rPr>
        <w:t>role-based workspaces</w:t>
      </w:r>
      <w:r>
        <w:rPr>
          <w:rFonts w:eastAsia="等线" w:ascii="Arial" w:cs="Arial" w:hAnsi="Arial"/>
          <w:sz w:val="22"/>
        </w:rPr>
        <w:t xml:space="preserve"> accessible via desktop web and mobile-responsive web interfaces. Each workspace is designed to streamline tasks for specific user groups, ensuring clarity, accountability, and efficiency across the sales and fulfillment lifecycle.</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3.3.1 </w:t>
      </w:r>
      <w:r>
        <w:rPr>
          <w:rFonts w:eastAsia="等线" w:ascii="Arial" w:cs="Arial" w:hAnsi="Arial"/>
          <w:b w:val="true"/>
          <w:sz w:val="30"/>
        </w:rPr>
        <w:t>Sales Order Management</w:t>
      </w:r>
      <w:bookmarkEnd w:id="28"/>
    </w:p>
    <w:p>
      <w:p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Sales Management</w:t>
      </w:r>
      <w:r>
        <w:rPr>
          <w:rFonts w:eastAsia="等线" w:ascii="Arial" w:cs="Arial" w:hAnsi="Arial"/>
          <w:sz w:val="22"/>
        </w:rPr>
        <w:t xml:space="preserve"> module consolidates both </w:t>
      </w:r>
      <w:r>
        <w:rPr>
          <w:rFonts w:eastAsia="等线" w:ascii="Arial" w:cs="Arial" w:hAnsi="Arial"/>
          <w:b w:val="true"/>
          <w:sz w:val="22"/>
        </w:rPr>
        <w:t>Sales Manager oversight</w:t>
      </w:r>
      <w:r>
        <w:rPr>
          <w:rFonts w:eastAsia="等线" w:ascii="Arial" w:cs="Arial" w:hAnsi="Arial"/>
          <w:sz w:val="22"/>
        </w:rPr>
        <w:t xml:space="preserve"> and </w:t>
      </w:r>
      <w:r>
        <w:rPr>
          <w:rFonts w:eastAsia="等线" w:ascii="Arial" w:cs="Arial" w:hAnsi="Arial"/>
          <w:b w:val="true"/>
          <w:sz w:val="22"/>
        </w:rPr>
        <w:t>Sales Order execution</w:t>
      </w:r>
      <w:r>
        <w:rPr>
          <w:rFonts w:eastAsia="等线" w:ascii="Arial" w:cs="Arial" w:hAnsi="Arial"/>
          <w:sz w:val="22"/>
        </w:rPr>
        <w:t>, providing a comprehensive workspace for managing the entire sales cycle. It empowers sales agents to handle day-to-day order activities while enabling managers to monitor performance, enforce financial accuracy, and ensure customer engagement standards are met.</w:t>
      </w:r>
    </w:p>
    <w:p>
      <w:pPr>
        <w:pStyle w:val="4"/>
        <w:spacing w:before="260" w:after="120" w:line="288" w:lineRule="auto"/>
        <w:ind w:left="0"/>
        <w:jc w:val="left"/>
        <w:outlineLvl w:val="3"/>
      </w:pPr>
      <w:bookmarkStart w:name="heading_29" w:id="29"/>
      <w:r>
        <w:rPr>
          <w:rFonts w:eastAsia="等线" w:ascii="Arial" w:cs="Arial" w:hAnsi="Arial"/>
          <w:b w:val="true"/>
          <w:sz w:val="28"/>
        </w:rPr>
        <w:t>Features</w:t>
      </w:r>
      <w:bookmarkEnd w:id="29"/>
    </w:p>
    <w:p>
      <w:pPr>
        <w:numPr>
          <w:numId w:val="72"/>
        </w:numPr>
        <w:spacing w:before="120" w:after="120" w:line="288" w:lineRule="auto"/>
        <w:ind w:left="0"/>
        <w:jc w:val="left"/>
      </w:pPr>
      <w:r>
        <w:rPr>
          <w:rFonts w:eastAsia="等线" w:ascii="Arial" w:cs="Arial" w:hAnsi="Arial"/>
          <w:b w:val="true"/>
          <w:sz w:val="22"/>
        </w:rPr>
        <w:t>Sales Order Management</w:t>
      </w:r>
    </w:p>
    <w:p>
      <w:pPr>
        <w:numPr>
          <w:numId w:val="73"/>
        </w:numPr>
        <w:spacing w:before="120" w:after="120" w:line="288" w:lineRule="auto"/>
        <w:ind w:left="453"/>
        <w:jc w:val="left"/>
      </w:pPr>
      <w:r>
        <w:rPr>
          <w:rFonts w:eastAsia="等线" w:ascii="Arial" w:cs="Arial" w:hAnsi="Arial"/>
          <w:sz w:val="22"/>
        </w:rPr>
        <w:t>Create, modify, and track sales orders across their full lifecycle (draft, confirmed, fulfilled, billed).</w:t>
      </w:r>
    </w:p>
    <w:p>
      <w:pPr>
        <w:numPr>
          <w:numId w:val="74"/>
        </w:numPr>
        <w:spacing w:before="120" w:after="120" w:line="288" w:lineRule="auto"/>
        <w:ind w:left="453"/>
        <w:jc w:val="left"/>
      </w:pPr>
      <w:r>
        <w:rPr>
          <w:rFonts w:eastAsia="等线" w:ascii="Arial" w:cs="Arial" w:hAnsi="Arial"/>
          <w:sz w:val="22"/>
        </w:rPr>
        <w:t>Integration with inventory and delivery modules to ensure real-time accuracy.</w:t>
      </w:r>
    </w:p>
    <w:p>
      <w:pPr>
        <w:numPr>
          <w:numId w:val="75"/>
        </w:numPr>
        <w:spacing w:before="120" w:after="120" w:line="288" w:lineRule="auto"/>
        <w:ind w:left="453"/>
        <w:jc w:val="left"/>
      </w:pPr>
      <w:r>
        <w:rPr>
          <w:rFonts w:eastAsia="等线" w:ascii="Arial" w:cs="Arial" w:hAnsi="Arial"/>
          <w:sz w:val="22"/>
        </w:rPr>
        <w:t>Unified management of quotations, invoices, and credit-related workflows.</w:t>
      </w:r>
    </w:p>
    <w:p>
      <w:pPr>
        <w:numPr>
          <w:numId w:val="76"/>
        </w:numPr>
        <w:spacing w:before="120" w:after="120" w:line="288" w:lineRule="auto"/>
        <w:ind w:left="0"/>
        <w:jc w:val="left"/>
      </w:pPr>
      <w:r>
        <w:rPr>
          <w:rFonts w:eastAsia="等线" w:ascii="Arial" w:cs="Arial" w:hAnsi="Arial"/>
          <w:b w:val="true"/>
          <w:sz w:val="22"/>
        </w:rPr>
        <w:t>Sales Oversight &amp; Control</w:t>
      </w:r>
    </w:p>
    <w:p>
      <w:pPr>
        <w:numPr>
          <w:numId w:val="77"/>
        </w:numPr>
        <w:spacing w:before="120" w:after="120" w:line="288" w:lineRule="auto"/>
        <w:ind w:left="453"/>
        <w:jc w:val="left"/>
      </w:pPr>
      <w:r>
        <w:rPr>
          <w:rFonts w:eastAsia="等线" w:ascii="Arial" w:cs="Arial" w:hAnsi="Arial"/>
          <w:sz w:val="22"/>
        </w:rPr>
        <w:t>Oversight of agent performance and customer interactions.</w:t>
      </w:r>
    </w:p>
    <w:p>
      <w:pPr>
        <w:numPr>
          <w:numId w:val="78"/>
        </w:numPr>
        <w:spacing w:before="120" w:after="120" w:line="288" w:lineRule="auto"/>
        <w:ind w:left="453"/>
        <w:jc w:val="left"/>
      </w:pPr>
      <w:r>
        <w:rPr>
          <w:rFonts w:eastAsia="等线" w:ascii="Arial" w:cs="Arial" w:hAnsi="Arial"/>
          <w:sz w:val="22"/>
        </w:rPr>
        <w:t>KPI dashboards for pipeline conversion, outstanding invoices, and fulfillment SLAs.</w:t>
      </w:r>
    </w:p>
    <w:p>
      <w:pPr>
        <w:numPr>
          <w:numId w:val="79"/>
        </w:numPr>
        <w:spacing w:before="120" w:after="120" w:line="288" w:lineRule="auto"/>
        <w:ind w:left="453"/>
        <w:jc w:val="left"/>
      </w:pPr>
      <w:r>
        <w:rPr>
          <w:rFonts w:eastAsia="等线" w:ascii="Arial" w:cs="Arial" w:hAnsi="Arial"/>
          <w:sz w:val="22"/>
        </w:rPr>
        <w:t>Approval workflows for special cases, including discounts, refunds, or escalations.</w:t>
      </w:r>
    </w:p>
    <w:p>
      <w:pPr>
        <w:numPr>
          <w:numId w:val="80"/>
        </w:numPr>
        <w:spacing w:before="120" w:after="120" w:line="288" w:lineRule="auto"/>
        <w:ind w:left="0"/>
        <w:jc w:val="left"/>
      </w:pPr>
      <w:r>
        <w:rPr>
          <w:rFonts w:eastAsia="等线" w:ascii="Arial" w:cs="Arial" w:hAnsi="Arial"/>
          <w:sz w:val="22"/>
        </w:rPr>
        <w:t>Outputs</w:t>
      </w:r>
    </w:p>
    <w:p>
      <w:pPr>
        <w:numPr>
          <w:numId w:val="81"/>
        </w:numPr>
        <w:spacing w:before="120" w:after="120" w:line="288" w:lineRule="auto"/>
        <w:ind w:left="453"/>
        <w:jc w:val="left"/>
      </w:pPr>
      <w:r>
        <w:rPr>
          <w:rFonts w:eastAsia="等线" w:ascii="Arial" w:cs="Arial" w:hAnsi="Arial"/>
          <w:sz w:val="22"/>
        </w:rPr>
        <w:t xml:space="preserve">A </w:t>
      </w:r>
      <w:r>
        <w:rPr>
          <w:rFonts w:eastAsia="等线" w:ascii="Arial" w:cs="Arial" w:hAnsi="Arial"/>
          <w:b w:val="true"/>
          <w:sz w:val="22"/>
        </w:rPr>
        <w:t>unified view</w:t>
      </w:r>
      <w:r>
        <w:rPr>
          <w:rFonts w:eastAsia="等线" w:ascii="Arial" w:cs="Arial" w:hAnsi="Arial"/>
          <w:sz w:val="22"/>
        </w:rPr>
        <w:t xml:space="preserve"> of all inbound sales orders across multiple platforms.</w:t>
      </w:r>
    </w:p>
    <w:p>
      <w:pPr>
        <w:numPr>
          <w:numId w:val="82"/>
        </w:numPr>
        <w:spacing w:before="120" w:after="120" w:line="288" w:lineRule="auto"/>
        <w:ind w:left="453"/>
        <w:jc w:val="left"/>
      </w:pPr>
      <w:r>
        <w:rPr>
          <w:rFonts w:eastAsia="等线" w:ascii="Arial" w:cs="Arial" w:hAnsi="Arial"/>
          <w:b w:val="true"/>
          <w:sz w:val="22"/>
        </w:rPr>
        <w:t>Consolidated performance dashboards</w:t>
      </w:r>
      <w:r>
        <w:rPr>
          <w:rFonts w:eastAsia="等线" w:ascii="Arial" w:cs="Arial" w:hAnsi="Arial"/>
          <w:sz w:val="22"/>
        </w:rPr>
        <w:t xml:space="preserve"> giving managers visibility into sales operations.</w:t>
      </w:r>
    </w:p>
    <w:p>
      <w:pPr>
        <w:numPr>
          <w:numId w:val="83"/>
        </w:numPr>
        <w:spacing w:before="120" w:after="120" w:line="288" w:lineRule="auto"/>
        <w:ind w:left="453"/>
        <w:jc w:val="left"/>
      </w:pPr>
      <w:r>
        <w:rPr>
          <w:rFonts w:eastAsia="等线" w:ascii="Arial" w:cs="Arial" w:hAnsi="Arial"/>
          <w:b w:val="true"/>
          <w:sz w:val="22"/>
        </w:rPr>
        <w:t>Control mechanisms</w:t>
      </w:r>
      <w:r>
        <w:rPr>
          <w:rFonts w:eastAsia="等线" w:ascii="Arial" w:cs="Arial" w:hAnsi="Arial"/>
          <w:sz w:val="22"/>
        </w:rPr>
        <w:t xml:space="preserve"> that enforce financial accuracy and ensure consistent customer engagement.</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3.3.2 </w:t>
      </w:r>
      <w:r>
        <w:rPr>
          <w:rFonts w:eastAsia="等线" w:ascii="Arial" w:cs="Arial" w:hAnsi="Arial"/>
          <w:b w:val="true"/>
          <w:sz w:val="30"/>
        </w:rPr>
        <w:t>Fulfillment Management</w:t>
      </w:r>
      <w:bookmarkEnd w:id="30"/>
    </w:p>
    <w:p>
      <w:p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Fulfillment Management</w:t>
      </w:r>
      <w:r>
        <w:rPr>
          <w:rFonts w:eastAsia="等线" w:ascii="Arial" w:cs="Arial" w:hAnsi="Arial"/>
          <w:sz w:val="22"/>
        </w:rPr>
        <w:t xml:space="preserve"> workspace is designed for logistics and operations teams, focusing on the preparation, dispatch, and delivery of customer orders. It provides flexibility to support multiple fulfillment models, ensuring scalability for both internal operations and external partnerships. In addition to managing deliveries, this workspace also integrates inventory controls, enabling efficient stock handling and order fulfillment.</w:t>
      </w:r>
    </w:p>
    <w:p>
      <w:pPr>
        <w:pStyle w:val="4"/>
        <w:spacing w:before="260" w:after="120" w:line="288" w:lineRule="auto"/>
        <w:ind w:left="0"/>
        <w:jc w:val="left"/>
        <w:outlineLvl w:val="3"/>
      </w:pPr>
      <w:bookmarkStart w:name="heading_31" w:id="31"/>
      <w:r>
        <w:rPr>
          <w:rFonts w:eastAsia="等线" w:ascii="Arial" w:cs="Arial" w:hAnsi="Arial"/>
          <w:b w:val="true"/>
          <w:sz w:val="28"/>
        </w:rPr>
        <w:t>Features</w:t>
      </w:r>
      <w:bookmarkEnd w:id="31"/>
    </w:p>
    <w:p>
      <w:pPr>
        <w:numPr>
          <w:numId w:val="84"/>
        </w:numPr>
        <w:spacing w:before="120" w:after="120" w:line="288" w:lineRule="auto"/>
        <w:ind w:left="0"/>
        <w:jc w:val="left"/>
      </w:pPr>
      <w:r>
        <w:rPr>
          <w:rFonts w:eastAsia="等线" w:ascii="Arial" w:cs="Arial" w:hAnsi="Arial"/>
          <w:b w:val="true"/>
          <w:sz w:val="22"/>
        </w:rPr>
        <w:t>Delivery &amp; Dispatch</w:t>
      </w:r>
    </w:p>
    <w:p>
      <w:pPr>
        <w:numPr>
          <w:numId w:val="85"/>
        </w:numPr>
        <w:spacing w:before="120" w:after="120" w:line="288" w:lineRule="auto"/>
        <w:ind w:left="453"/>
        <w:jc w:val="left"/>
      </w:pPr>
      <w:r>
        <w:rPr>
          <w:rFonts w:eastAsia="等线" w:ascii="Arial" w:cs="Arial" w:hAnsi="Arial"/>
          <w:sz w:val="22"/>
        </w:rPr>
        <w:t>Delivery note (Delivery Order) generation.</w:t>
      </w:r>
    </w:p>
    <w:p>
      <w:pPr>
        <w:numPr>
          <w:numId w:val="86"/>
        </w:numPr>
        <w:spacing w:before="120" w:after="120" w:line="288" w:lineRule="auto"/>
        <w:ind w:left="453"/>
        <w:jc w:val="left"/>
      </w:pPr>
      <w:r>
        <w:rPr>
          <w:rFonts w:eastAsia="等线" w:ascii="Arial" w:cs="Arial" w:hAnsi="Arial"/>
          <w:sz w:val="22"/>
        </w:rPr>
        <w:t>Proof of delivery capture (photo, e-signature, uploaded receipt).</w:t>
      </w:r>
    </w:p>
    <w:p>
      <w:pPr>
        <w:numPr>
          <w:numId w:val="87"/>
        </w:numPr>
        <w:spacing w:before="120" w:after="120" w:line="288" w:lineRule="auto"/>
        <w:ind w:left="453"/>
        <w:jc w:val="left"/>
      </w:pPr>
      <w:r>
        <w:rPr>
          <w:rFonts w:eastAsia="等线" w:ascii="Arial" w:cs="Arial" w:hAnsi="Arial"/>
          <w:sz w:val="22"/>
        </w:rPr>
        <w:t>Allocation of orders to drivers and logistics providers.</w:t>
      </w:r>
    </w:p>
    <w:p>
      <w:pPr>
        <w:numPr>
          <w:numId w:val="88"/>
        </w:numPr>
        <w:spacing w:before="120" w:after="120" w:line="288" w:lineRule="auto"/>
        <w:ind w:left="453"/>
        <w:jc w:val="left"/>
      </w:pPr>
      <w:r>
        <w:rPr>
          <w:rFonts w:eastAsia="等线" w:ascii="Arial" w:cs="Arial" w:hAnsi="Arial"/>
          <w:sz w:val="22"/>
        </w:rPr>
        <w:t>Status tracking: “to deliver”, “to fulfill”, “completed”.</w:t>
      </w:r>
    </w:p>
    <w:p>
      <w:pPr>
        <w:numPr>
          <w:numId w:val="89"/>
        </w:numPr>
        <w:spacing w:before="120" w:after="120" w:line="288" w:lineRule="auto"/>
        <w:ind w:left="0"/>
        <w:jc w:val="left"/>
      </w:pPr>
      <w:r>
        <w:rPr>
          <w:rFonts w:eastAsia="等线" w:ascii="Arial" w:cs="Arial" w:hAnsi="Arial"/>
          <w:b w:val="true"/>
          <w:sz w:val="22"/>
        </w:rPr>
        <w:t>Fulfillment Models</w:t>
      </w:r>
    </w:p>
    <w:p>
      <w:pPr>
        <w:numPr>
          <w:numId w:val="90"/>
        </w:numPr>
        <w:spacing w:before="120" w:after="120" w:line="288" w:lineRule="auto"/>
        <w:ind w:left="453"/>
        <w:jc w:val="left"/>
      </w:pPr>
      <w:r>
        <w:rPr>
          <w:rFonts w:eastAsia="等线" w:ascii="Arial" w:cs="Arial" w:hAnsi="Arial"/>
          <w:b w:val="true"/>
          <w:sz w:val="22"/>
        </w:rPr>
        <w:t>Self-Fulfillment:</w:t>
      </w:r>
      <w:r>
        <w:rPr>
          <w:rFonts w:eastAsia="等线" w:ascii="Arial" w:cs="Arial" w:hAnsi="Arial"/>
          <w:sz w:val="22"/>
        </w:rPr>
        <w:t xml:space="preserve"> Orders managed with internal drivers and company-owned vehicles.</w:t>
      </w:r>
    </w:p>
    <w:p>
      <w:pPr>
        <w:numPr>
          <w:numId w:val="91"/>
        </w:numPr>
        <w:spacing w:before="120" w:after="120" w:line="288" w:lineRule="auto"/>
        <w:ind w:left="453"/>
        <w:jc w:val="left"/>
      </w:pPr>
      <w:r>
        <w:rPr>
          <w:rFonts w:eastAsia="等线" w:ascii="Arial" w:cs="Arial" w:hAnsi="Arial"/>
          <w:b w:val="true"/>
          <w:sz w:val="22"/>
        </w:rPr>
        <w:t>3rd Party Fulfillment:</w:t>
      </w:r>
      <w:r>
        <w:rPr>
          <w:rFonts w:eastAsia="等线" w:ascii="Arial" w:cs="Arial" w:hAnsi="Arial"/>
          <w:sz w:val="22"/>
        </w:rPr>
        <w:t xml:space="preserve"> Orders dispatched via external logistics providers, enabling extended coverage (e.g., Fulfilled by Shopee, external warehouses, or 3PLs).</w:t>
      </w:r>
    </w:p>
    <w:p>
      <w:pPr>
        <w:numPr>
          <w:numId w:val="92"/>
        </w:numPr>
        <w:spacing w:before="120" w:after="120" w:line="288" w:lineRule="auto"/>
        <w:ind w:left="0"/>
        <w:jc w:val="left"/>
      </w:pPr>
      <w:r>
        <w:rPr>
          <w:rFonts w:eastAsia="等线" w:ascii="Arial" w:cs="Arial" w:hAnsi="Arial"/>
          <w:b w:val="true"/>
          <w:sz w:val="22"/>
        </w:rPr>
        <w:t>Inventory Management</w:t>
      </w:r>
    </w:p>
    <w:p>
      <w:pPr>
        <w:numPr>
          <w:numId w:val="93"/>
        </w:numPr>
        <w:spacing w:before="120" w:after="120" w:line="288" w:lineRule="auto"/>
        <w:ind w:left="453"/>
        <w:jc w:val="left"/>
      </w:pPr>
      <w:r>
        <w:rPr>
          <w:rFonts w:eastAsia="等线" w:ascii="Arial" w:cs="Arial" w:hAnsi="Arial"/>
          <w:sz w:val="22"/>
        </w:rPr>
        <w:t>Real-time stock validation before order confirmation.</w:t>
      </w:r>
    </w:p>
    <w:p>
      <w:pPr>
        <w:numPr>
          <w:numId w:val="94"/>
        </w:numPr>
        <w:spacing w:before="120" w:after="120" w:line="288" w:lineRule="auto"/>
        <w:ind w:left="453"/>
        <w:jc w:val="left"/>
      </w:pPr>
      <w:r>
        <w:rPr>
          <w:rFonts w:eastAsia="等线" w:ascii="Arial" w:cs="Arial" w:hAnsi="Arial"/>
          <w:sz w:val="22"/>
        </w:rPr>
        <w:t>Automatic stock deduction once orders are finalized and assigned.</w:t>
      </w:r>
    </w:p>
    <w:p>
      <w:pPr>
        <w:numPr>
          <w:numId w:val="95"/>
        </w:numPr>
        <w:spacing w:before="120" w:after="120" w:line="288" w:lineRule="auto"/>
        <w:ind w:left="453"/>
        <w:jc w:val="left"/>
      </w:pPr>
      <w:r>
        <w:rPr>
          <w:rFonts w:eastAsia="等线" w:ascii="Arial" w:cs="Arial" w:hAnsi="Arial"/>
          <w:sz w:val="22"/>
        </w:rPr>
        <w:t>Picking List generation for warehouse staff to guide item selection and packing.</w:t>
      </w:r>
    </w:p>
    <w:p>
      <w:pPr>
        <w:numPr>
          <w:numId w:val="96"/>
        </w:numPr>
        <w:spacing w:before="120" w:after="120" w:line="288" w:lineRule="auto"/>
        <w:ind w:left="453"/>
        <w:jc w:val="left"/>
      </w:pPr>
      <w:r>
        <w:rPr>
          <w:rFonts w:eastAsia="等线" w:ascii="Arial" w:cs="Arial" w:hAnsi="Arial"/>
          <w:sz w:val="22"/>
        </w:rPr>
        <w:t>Safety stock rules and alerts when items are running low.</w:t>
      </w:r>
    </w:p>
    <w:p>
      <w:pPr>
        <w:numPr>
          <w:numId w:val="97"/>
        </w:numPr>
        <w:spacing w:before="120" w:after="120" w:line="288" w:lineRule="auto"/>
        <w:ind w:left="453"/>
        <w:jc w:val="left"/>
      </w:pPr>
      <w:r>
        <w:rPr>
          <w:rFonts w:eastAsia="等线" w:ascii="Arial" w:cs="Arial" w:hAnsi="Arial"/>
          <w:sz w:val="22"/>
        </w:rPr>
        <w:t>Syncing inventory channels to prevent overselling.</w:t>
      </w:r>
    </w:p>
    <w:p>
      <w:pPr>
        <w:numPr>
          <w:numId w:val="98"/>
        </w:numPr>
        <w:spacing w:before="120" w:after="120" w:line="288" w:lineRule="auto"/>
        <w:ind w:left="0"/>
        <w:jc w:val="left"/>
      </w:pPr>
      <w:r>
        <w:rPr>
          <w:rFonts w:eastAsia="等线" w:ascii="Arial" w:cs="Arial" w:hAnsi="Arial"/>
          <w:b w:val="true"/>
          <w:sz w:val="22"/>
        </w:rPr>
        <w:t>Fulfillment Oversight</w:t>
      </w:r>
    </w:p>
    <w:p>
      <w:pPr>
        <w:numPr>
          <w:numId w:val="99"/>
        </w:numPr>
        <w:spacing w:before="120" w:after="120" w:line="288" w:lineRule="auto"/>
        <w:ind w:left="453"/>
        <w:jc w:val="left"/>
      </w:pPr>
      <w:r>
        <w:rPr>
          <w:rFonts w:eastAsia="等线" w:ascii="Arial" w:cs="Arial" w:hAnsi="Arial"/>
          <w:sz w:val="22"/>
        </w:rPr>
        <w:t>Delivery Checklist: Ensures drivers verify items against the order before dispatch.</w:t>
      </w:r>
    </w:p>
    <w:p>
      <w:pPr>
        <w:numPr>
          <w:numId w:val="100"/>
        </w:numPr>
        <w:spacing w:before="120" w:after="120" w:line="288" w:lineRule="auto"/>
        <w:ind w:left="453"/>
        <w:jc w:val="left"/>
      </w:pPr>
      <w:r>
        <w:rPr>
          <w:rFonts w:eastAsia="等线" w:ascii="Arial" w:cs="Arial" w:hAnsi="Arial"/>
          <w:sz w:val="22"/>
        </w:rPr>
        <w:t>Exception Handling: Notifications for shortages, mismatches, or failed deliveries.</w:t>
      </w:r>
    </w:p>
    <w:p>
      <w:pPr>
        <w:numPr>
          <w:numId w:val="101"/>
        </w:numPr>
        <w:spacing w:before="120" w:after="120" w:line="288" w:lineRule="auto"/>
        <w:ind w:left="453"/>
        <w:jc w:val="left"/>
      </w:pPr>
      <w:r>
        <w:rPr>
          <w:rFonts w:eastAsia="等线" w:ascii="Arial" w:cs="Arial" w:hAnsi="Arial"/>
          <w:sz w:val="22"/>
        </w:rPr>
        <w:t>Integrated dashboards to track fulfillment performance, pending deliveries, and SLA adherence.</w:t>
      </w:r>
    </w:p>
    <w:p>
      <w:pPr>
        <w:pStyle w:val="4"/>
        <w:spacing w:before="260" w:after="120" w:line="288" w:lineRule="auto"/>
        <w:ind w:left="0"/>
        <w:jc w:val="left"/>
        <w:outlineLvl w:val="3"/>
      </w:pPr>
      <w:bookmarkStart w:name="heading_32" w:id="32"/>
      <w:r>
        <w:rPr>
          <w:rFonts w:eastAsia="等线" w:ascii="Arial" w:cs="Arial" w:hAnsi="Arial"/>
          <w:b w:val="true"/>
          <w:sz w:val="28"/>
        </w:rPr>
        <w:t>Outputs</w:t>
      </w:r>
      <w:bookmarkEnd w:id="32"/>
    </w:p>
    <w:p>
      <w:pPr>
        <w:numPr>
          <w:numId w:val="102"/>
        </w:numPr>
        <w:spacing w:before="120" w:after="120" w:line="288" w:lineRule="auto"/>
        <w:ind w:left="0"/>
        <w:jc w:val="left"/>
      </w:pPr>
      <w:r>
        <w:rPr>
          <w:rFonts w:eastAsia="等线" w:ascii="Arial" w:cs="Arial" w:hAnsi="Arial"/>
          <w:b w:val="true"/>
          <w:sz w:val="22"/>
        </w:rPr>
        <w:t>Delivery and fulfillment dashboards</w:t>
      </w:r>
      <w:r>
        <w:rPr>
          <w:rFonts w:eastAsia="等线" w:ascii="Arial" w:cs="Arial" w:hAnsi="Arial"/>
          <w:sz w:val="22"/>
        </w:rPr>
        <w:t xml:space="preserve"> for operations teams, giving visibility into live orders, dispatch progress, and proof-of-delivery records.</w:t>
      </w:r>
    </w:p>
    <w:p>
      <w:pPr>
        <w:numPr>
          <w:numId w:val="103"/>
        </w:numPr>
        <w:spacing w:before="120" w:after="120" w:line="288" w:lineRule="auto"/>
        <w:ind w:left="0"/>
        <w:jc w:val="left"/>
      </w:pPr>
      <w:r>
        <w:rPr>
          <w:rFonts w:eastAsia="等线" w:ascii="Arial" w:cs="Arial" w:hAnsi="Arial"/>
          <w:b w:val="true"/>
          <w:sz w:val="22"/>
        </w:rPr>
        <w:t>Inventory reconciliation reports</w:t>
      </w:r>
      <w:r>
        <w:rPr>
          <w:rFonts w:eastAsia="等线" w:ascii="Arial" w:cs="Arial" w:hAnsi="Arial"/>
          <w:sz w:val="22"/>
        </w:rPr>
        <w:t xml:space="preserve"> linking stock movement with fulfilled orders.</w:t>
      </w:r>
    </w:p>
    <w:p>
      <w:pPr>
        <w:numPr>
          <w:numId w:val="104"/>
        </w:numPr>
        <w:spacing w:before="120" w:after="120" w:line="288" w:lineRule="auto"/>
        <w:ind w:left="0"/>
        <w:jc w:val="left"/>
      </w:pPr>
      <w:r>
        <w:rPr>
          <w:rFonts w:eastAsia="等线" w:ascii="Arial" w:cs="Arial" w:hAnsi="Arial"/>
          <w:b w:val="true"/>
          <w:sz w:val="22"/>
        </w:rPr>
        <w:t>Exception reports</w:t>
      </w:r>
      <w:r>
        <w:rPr>
          <w:rFonts w:eastAsia="等线" w:ascii="Arial" w:cs="Arial" w:hAnsi="Arial"/>
          <w:sz w:val="22"/>
        </w:rPr>
        <w:t xml:space="preserve"> highlighting failed or delayed deliveries, missing items, or stock variances.</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3.3.3 </w:t>
      </w:r>
      <w:r>
        <w:rPr>
          <w:rFonts w:eastAsia="等线" w:ascii="Arial" w:cs="Arial" w:hAnsi="Arial"/>
          <w:b w:val="true"/>
          <w:sz w:val="30"/>
        </w:rPr>
        <w:t>System Administration &amp; Integrations</w:t>
      </w:r>
      <w:bookmarkEnd w:id="33"/>
    </w:p>
    <w:p>
      <w:pPr>
        <w:numPr>
          <w:numId w:val="105"/>
        </w:numPr>
        <w:spacing w:before="120" w:after="120" w:line="288" w:lineRule="auto"/>
        <w:ind w:left="0"/>
        <w:jc w:val="left"/>
      </w:pPr>
      <w:r>
        <w:rPr>
          <w:rFonts w:eastAsia="等线" w:ascii="Arial" w:cs="Arial" w:hAnsi="Arial"/>
          <w:b w:val="true"/>
          <w:sz w:val="22"/>
        </w:rPr>
        <w:t>Features</w:t>
      </w:r>
      <w:r>
        <w:rPr>
          <w:rFonts w:eastAsia="等线" w:ascii="Arial" w:cs="Arial" w:hAnsi="Arial"/>
          <w:sz w:val="22"/>
        </w:rPr>
        <w:t>:</w:t>
      </w:r>
    </w:p>
    <w:p>
      <w:pPr>
        <w:numPr>
          <w:numId w:val="106"/>
        </w:numPr>
        <w:spacing w:before="120" w:after="120" w:line="288" w:lineRule="auto"/>
        <w:ind w:left="453"/>
        <w:jc w:val="left"/>
      </w:pPr>
      <w:r>
        <w:rPr>
          <w:rFonts w:eastAsia="等线" w:ascii="Arial" w:cs="Arial" w:hAnsi="Arial"/>
          <w:sz w:val="22"/>
        </w:rPr>
        <w:t>Company-level administration (roles, permissions, policies).</w:t>
      </w:r>
    </w:p>
    <w:p>
      <w:pPr>
        <w:numPr>
          <w:numId w:val="107"/>
        </w:numPr>
        <w:spacing w:before="120" w:after="120" w:line="288" w:lineRule="auto"/>
        <w:ind w:left="453"/>
        <w:jc w:val="left"/>
      </w:pPr>
      <w:r>
        <w:rPr>
          <w:rFonts w:eastAsia="等线" w:ascii="Arial" w:cs="Arial" w:hAnsi="Arial"/>
          <w:sz w:val="22"/>
        </w:rPr>
        <w:t>Integration APIs for ERPNext, CRM, accounting, and third-party platforms.</w:t>
      </w:r>
    </w:p>
    <w:p>
      <w:pPr>
        <w:numPr>
          <w:numId w:val="108"/>
        </w:numPr>
        <w:spacing w:before="120" w:after="120" w:line="288" w:lineRule="auto"/>
        <w:ind w:left="453"/>
        <w:jc w:val="left"/>
      </w:pPr>
      <w:r>
        <w:rPr>
          <w:rFonts w:eastAsia="等线" w:ascii="Arial" w:cs="Arial" w:hAnsi="Arial"/>
          <w:sz w:val="22"/>
        </w:rPr>
        <w:t>Multi-company, multi-channel management with configurable permissions.</w:t>
      </w:r>
    </w:p>
    <w:p>
      <w:pPr>
        <w:numPr>
          <w:numId w:val="109"/>
        </w:numPr>
        <w:spacing w:before="120" w:after="120" w:line="288" w:lineRule="auto"/>
        <w:ind w:left="0"/>
        <w:jc w:val="left"/>
      </w:pPr>
      <w:r>
        <w:rPr>
          <w:rFonts w:eastAsia="等线" w:ascii="Arial" w:cs="Arial" w:hAnsi="Arial"/>
          <w:b w:val="true"/>
          <w:sz w:val="22"/>
        </w:rPr>
        <w:t>Outputs</w:t>
      </w:r>
      <w:r>
        <w:rPr>
          <w:rFonts w:eastAsia="等线" w:ascii="Arial" w:cs="Arial" w:hAnsi="Arial"/>
          <w:sz w:val="22"/>
        </w:rPr>
        <w:t>: Secure and scalable foundation layer for enterprise operations.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645"/>
        <w:gridCol w:w="645"/>
        <w:gridCol w:w="3225"/>
        <w:gridCol w:w="1515"/>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System</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Direction</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Frequency</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Objects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Notes</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AutoCount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Push/Pull</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EOD</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Quotes, Customers, Products, Invoices, Credit Notes, Receipts, Payment Vouchers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Master data lives in AutoCount </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 Maia</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Real-time</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Orders, Delivery note(DO), Delivery Trip, Invoice status,</w:t>
            </w:r>
            <w:r>
              <w:rPr>
                <w:rFonts w:eastAsia="等线" w:ascii="Arial" w:cs="Arial" w:hAnsi="Arial"/>
                <w:color w:val="dc9b04"/>
                <w:sz w:val="22"/>
              </w:rPr>
              <w:t xml:space="preserve"> Quotation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order creation via bot </w:t>
            </w:r>
          </w:p>
        </w:tc>
      </w:tr>
    </w:tbl>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3.3.4 </w:t>
      </w:r>
      <w:r>
        <w:rPr>
          <w:rFonts w:eastAsia="等线" w:ascii="Arial" w:cs="Arial" w:hAnsi="Arial"/>
          <w:b w:val="true"/>
          <w:sz w:val="30"/>
          <w:shd w:fill="fff67a"/>
        </w:rPr>
        <w:t>User Management</w:t>
      </w:r>
      <w:bookmarkEnd w:id="34"/>
    </w:p>
    <w:p>
      <w:pPr>
        <w:spacing w:before="120" w:after="120" w:line="288" w:lineRule="auto"/>
        <w:ind w:left="0"/>
        <w:jc w:val="left"/>
      </w:pPr>
      <w:r>
        <w:rPr>
          <w:rFonts w:eastAsia="等线" w:ascii="Arial" w:cs="Arial" w:hAnsi="Arial"/>
          <w:sz w:val="22"/>
        </w:rPr>
        <w:t>The system includes a structured user management framework designed to streamline onboarding, enforce role-based access, and ensure secure handling of user data. This module provides the foundation for organizing and controlling access across different operational roles within the platform.</w:t>
      </w:r>
    </w:p>
    <w:p>
      <w:pPr>
        <w:numPr>
          <w:numId w:val="110"/>
        </w:numPr>
        <w:spacing w:before="120" w:after="120" w:line="288" w:lineRule="auto"/>
        <w:ind w:left="0"/>
        <w:jc w:val="left"/>
      </w:pPr>
      <w:r>
        <w:rPr>
          <w:rFonts w:eastAsia="等线" w:ascii="Arial" w:cs="Arial" w:hAnsi="Arial"/>
          <w:b w:val="true"/>
          <w:sz w:val="22"/>
        </w:rPr>
        <w:t>New User Onboarding</w:t>
      </w:r>
    </w:p>
    <w:p>
      <w:pPr>
        <w:numPr>
          <w:numId w:val="111"/>
        </w:numPr>
        <w:spacing w:before="120" w:after="120" w:line="288" w:lineRule="auto"/>
        <w:ind w:left="453"/>
        <w:jc w:val="left"/>
      </w:pPr>
      <w:r>
        <w:rPr>
          <w:rFonts w:eastAsia="等线" w:ascii="Arial" w:cs="Arial" w:hAnsi="Arial"/>
          <w:sz w:val="22"/>
        </w:rPr>
        <w:t>Users are registered through a standardized onboarding process.</w:t>
      </w:r>
    </w:p>
    <w:p>
      <w:pPr>
        <w:numPr>
          <w:numId w:val="112"/>
        </w:numPr>
        <w:spacing w:before="120" w:after="120" w:line="288" w:lineRule="auto"/>
        <w:ind w:left="453"/>
        <w:jc w:val="left"/>
      </w:pPr>
      <w:r>
        <w:rPr>
          <w:rFonts w:eastAsia="等线" w:ascii="Arial" w:cs="Arial" w:hAnsi="Arial"/>
          <w:sz w:val="22"/>
        </w:rPr>
        <w:t>Mandatory information captured during registration:</w:t>
      </w:r>
    </w:p>
    <w:p>
      <w:pPr>
        <w:numPr>
          <w:numId w:val="113"/>
        </w:numPr>
        <w:spacing w:before="120" w:after="120" w:line="288" w:lineRule="auto"/>
        <w:ind w:left="907"/>
        <w:jc w:val="left"/>
      </w:pPr>
      <w:r>
        <w:rPr>
          <w:rFonts w:eastAsia="等线" w:ascii="Arial" w:cs="Arial" w:hAnsi="Arial"/>
          <w:sz w:val="22"/>
        </w:rPr>
        <w:t>Full Name</w:t>
      </w:r>
    </w:p>
    <w:p>
      <w:pPr>
        <w:numPr>
          <w:numId w:val="114"/>
        </w:numPr>
        <w:spacing w:before="120" w:after="120" w:line="288" w:lineRule="auto"/>
        <w:ind w:left="907"/>
        <w:jc w:val="left"/>
      </w:pPr>
      <w:r>
        <w:rPr>
          <w:rFonts w:eastAsia="等线" w:ascii="Arial" w:cs="Arial" w:hAnsi="Arial"/>
          <w:sz w:val="22"/>
        </w:rPr>
        <w:t>Contact Number</w:t>
      </w:r>
    </w:p>
    <w:p>
      <w:pPr>
        <w:numPr>
          <w:numId w:val="115"/>
        </w:numPr>
        <w:spacing w:before="120" w:after="120" w:line="288" w:lineRule="auto"/>
        <w:ind w:left="907"/>
        <w:jc w:val="left"/>
      </w:pPr>
      <w:r>
        <w:rPr>
          <w:rFonts w:eastAsia="等线" w:ascii="Arial" w:cs="Arial" w:hAnsi="Arial"/>
          <w:sz w:val="22"/>
        </w:rPr>
        <w:t>Email Address</w:t>
      </w:r>
    </w:p>
    <w:p>
      <w:pPr>
        <w:numPr>
          <w:numId w:val="116"/>
        </w:numPr>
        <w:spacing w:before="120" w:after="120" w:line="288" w:lineRule="auto"/>
        <w:ind w:left="453"/>
        <w:jc w:val="left"/>
      </w:pPr>
      <w:r>
        <w:rPr>
          <w:rFonts w:eastAsia="等线" w:ascii="Arial" w:cs="Arial" w:hAnsi="Arial"/>
          <w:sz w:val="22"/>
        </w:rPr>
        <w:t>Data is validated and securely stored to maintain consistency across the system.</w:t>
      </w:r>
    </w:p>
    <w:p>
      <w:pPr>
        <w:numPr>
          <w:numId w:val="117"/>
        </w:numPr>
        <w:spacing w:before="120" w:after="120" w:line="288" w:lineRule="auto"/>
        <w:ind w:left="0"/>
        <w:jc w:val="left"/>
      </w:pPr>
      <w:r>
        <w:rPr>
          <w:rFonts w:eastAsia="等线" w:ascii="Arial" w:cs="Arial" w:hAnsi="Arial"/>
          <w:b w:val="true"/>
          <w:sz w:val="22"/>
        </w:rPr>
        <w:t>User Roles Assignment</w:t>
      </w:r>
    </w:p>
    <w:p>
      <w:pPr>
        <w:numPr>
          <w:numId w:val="118"/>
        </w:numPr>
        <w:spacing w:before="120" w:after="120" w:line="288" w:lineRule="auto"/>
        <w:ind w:left="453"/>
        <w:jc w:val="left"/>
      </w:pPr>
      <w:r>
        <w:rPr>
          <w:rFonts w:eastAsia="等线" w:ascii="Arial" w:cs="Arial" w:hAnsi="Arial"/>
          <w:sz w:val="22"/>
        </w:rPr>
        <w:t>Once a user is created, role assignment ensures they can only access functions relevant to their responsibilities.</w:t>
      </w:r>
    </w:p>
    <w:p>
      <w:pPr>
        <w:numPr>
          <w:numId w:val="119"/>
        </w:numPr>
        <w:spacing w:before="120" w:after="120" w:line="288" w:lineRule="auto"/>
        <w:ind w:left="453"/>
        <w:jc w:val="left"/>
      </w:pPr>
      <w:r>
        <w:rPr>
          <w:rFonts w:eastAsia="等线" w:ascii="Arial" w:cs="Arial" w:hAnsi="Arial"/>
          <w:sz w:val="22"/>
        </w:rPr>
        <w:t>Roles currently available in the system include:</w:t>
      </w:r>
    </w:p>
    <w:p>
      <w:pPr>
        <w:numPr>
          <w:numId w:val="120"/>
        </w:numPr>
        <w:spacing w:before="120" w:after="120" w:line="288" w:lineRule="auto"/>
        <w:ind w:left="907"/>
        <w:jc w:val="left"/>
      </w:pPr>
      <w:r>
        <w:rPr>
          <w:rFonts w:eastAsia="等线" w:ascii="Arial" w:cs="Arial" w:hAnsi="Arial"/>
          <w:b w:val="true"/>
          <w:sz w:val="22"/>
        </w:rPr>
        <w:t>Management:</w:t>
      </w:r>
      <w:r>
        <w:rPr>
          <w:rFonts w:eastAsia="等线" w:ascii="Arial" w:cs="Arial" w:hAnsi="Arial"/>
          <w:sz w:val="22"/>
        </w:rPr>
        <w:t xml:space="preserve"> Full system visibility, reporting dashboards, and administrative controls.</w:t>
      </w:r>
    </w:p>
    <w:p>
      <w:pPr>
        <w:numPr>
          <w:numId w:val="121"/>
        </w:numPr>
        <w:spacing w:before="120" w:after="120" w:line="288" w:lineRule="auto"/>
        <w:ind w:left="907"/>
        <w:jc w:val="left"/>
      </w:pPr>
      <w:r>
        <w:rPr>
          <w:rFonts w:eastAsia="等线" w:ascii="Arial" w:cs="Arial" w:hAnsi="Arial"/>
          <w:b w:val="true"/>
          <w:sz w:val="22"/>
        </w:rPr>
        <w:t>Sales Agent:</w:t>
      </w:r>
      <w:r>
        <w:rPr>
          <w:rFonts w:eastAsia="等线" w:ascii="Arial" w:cs="Arial" w:hAnsi="Arial"/>
          <w:sz w:val="22"/>
        </w:rPr>
        <w:t xml:space="preserve"> Access to customer records, order creation, invoices, and payment handling.</w:t>
      </w:r>
    </w:p>
    <w:p>
      <w:pPr>
        <w:numPr>
          <w:numId w:val="122"/>
        </w:numPr>
        <w:spacing w:before="120" w:after="120" w:line="288" w:lineRule="auto"/>
        <w:ind w:left="907"/>
        <w:jc w:val="left"/>
      </w:pPr>
      <w:r>
        <w:rPr>
          <w:rFonts w:eastAsia="等线" w:ascii="Arial" w:cs="Arial" w:hAnsi="Arial"/>
          <w:b w:val="true"/>
          <w:sz w:val="22"/>
        </w:rPr>
        <w:t>Logistics:</w:t>
      </w:r>
      <w:r>
        <w:rPr>
          <w:rFonts w:eastAsia="等线" w:ascii="Arial" w:cs="Arial" w:hAnsi="Arial"/>
          <w:sz w:val="22"/>
        </w:rPr>
        <w:t xml:space="preserve"> Access to delivery orders, trips, and warehouse operations.</w:t>
      </w:r>
    </w:p>
    <w:p>
      <w:pPr>
        <w:numPr>
          <w:numId w:val="123"/>
        </w:numPr>
        <w:spacing w:before="120" w:after="120" w:line="288" w:lineRule="auto"/>
        <w:ind w:left="907"/>
        <w:jc w:val="left"/>
      </w:pPr>
      <w:r>
        <w:rPr>
          <w:rFonts w:eastAsia="等线" w:ascii="Arial" w:cs="Arial" w:hAnsi="Arial"/>
          <w:b w:val="true"/>
          <w:sz w:val="22"/>
        </w:rPr>
        <w:t>Driver:</w:t>
      </w:r>
      <w:r>
        <w:rPr>
          <w:rFonts w:eastAsia="等线" w:ascii="Arial" w:cs="Arial" w:hAnsi="Arial"/>
          <w:sz w:val="22"/>
        </w:rPr>
        <w:t xml:space="preserve"> Access to delivery trip management, proof-of-delivery uploads, and real-time updates.</w:t>
      </w:r>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3.3.4.1 </w:t>
      </w:r>
      <w:r>
        <w:rPr>
          <w:rFonts w:eastAsia="等线" w:ascii="Arial" w:cs="Arial" w:hAnsi="Arial"/>
          <w:b w:val="true"/>
          <w:sz w:val="28"/>
        </w:rPr>
        <w:t>Company Profile Management</w:t>
      </w:r>
      <w:bookmarkEnd w:id="35"/>
    </w:p>
    <w:p>
      <w:p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Company Profile Page</w:t>
      </w:r>
      <w:r>
        <w:rPr>
          <w:rFonts w:eastAsia="等线" w:ascii="Arial" w:cs="Arial" w:hAnsi="Arial"/>
          <w:sz w:val="22"/>
        </w:rPr>
        <w:t xml:space="preserve"> centralizes all company-level data, ensuring compliance, operational alignment, and accurate system configuration across subsidiaries, outlets, and channels.</w:t>
      </w:r>
    </w:p>
    <w:p>
      <w:pPr>
        <w:pStyle w:val="5"/>
        <w:spacing w:before="240" w:after="120" w:line="288" w:lineRule="auto"/>
        <w:ind w:left="0"/>
        <w:jc w:val="left"/>
        <w:outlineLvl w:val="4"/>
      </w:pPr>
      <w:bookmarkStart w:name="heading_36" w:id="36"/>
      <w:r>
        <w:rPr>
          <w:rFonts w:eastAsia="等线" w:ascii="Arial" w:cs="Arial" w:hAnsi="Arial"/>
          <w:color w:val="3370ff"/>
          <w:sz w:val="24"/>
        </w:rPr>
        <w:t xml:space="preserve">3.3.4.1.1 </w:t>
      </w:r>
      <w:r>
        <w:rPr>
          <w:rFonts w:eastAsia="等线" w:ascii="Arial" w:cs="Arial" w:hAnsi="Arial"/>
          <w:b w:val="true"/>
          <w:sz w:val="24"/>
        </w:rPr>
        <w:t>General Information</w:t>
      </w:r>
      <w:bookmarkEnd w:id="36"/>
    </w:p>
    <w:p>
      <w:pPr>
        <w:numPr>
          <w:numId w:val="124"/>
        </w:numPr>
        <w:spacing w:before="120" w:after="120" w:line="288" w:lineRule="auto"/>
        <w:ind w:left="0"/>
        <w:jc w:val="left"/>
      </w:pPr>
      <w:r>
        <w:rPr>
          <w:rFonts w:eastAsia="等线" w:ascii="Arial" w:cs="Arial" w:hAnsi="Arial"/>
          <w:sz w:val="22"/>
        </w:rPr>
        <w:t>Company ID (system-assigned, non-editable)</w:t>
      </w:r>
    </w:p>
    <w:p>
      <w:pPr>
        <w:numPr>
          <w:numId w:val="125"/>
        </w:numPr>
        <w:spacing w:before="120" w:after="120" w:line="288" w:lineRule="auto"/>
        <w:ind w:left="0"/>
        <w:jc w:val="left"/>
      </w:pPr>
      <w:r>
        <w:rPr>
          <w:rFonts w:eastAsia="等线" w:ascii="Arial" w:cs="Arial" w:hAnsi="Arial"/>
          <w:sz w:val="22"/>
        </w:rPr>
        <w:t>Company Name, Logo, Website/Domain</w:t>
      </w:r>
    </w:p>
    <w:p>
      <w:pPr>
        <w:numPr>
          <w:numId w:val="126"/>
        </w:numPr>
        <w:spacing w:before="120" w:after="120" w:line="288" w:lineRule="auto"/>
        <w:ind w:left="0"/>
        <w:jc w:val="left"/>
      </w:pPr>
      <w:r>
        <w:rPr>
          <w:rFonts w:eastAsia="等线" w:ascii="Arial" w:cs="Arial" w:hAnsi="Arial"/>
          <w:sz w:val="22"/>
        </w:rPr>
        <w:t>Phone Numbers (main line, hotline) and Email (general/support)</w:t>
      </w:r>
    </w:p>
    <w:p>
      <w:pPr>
        <w:numPr>
          <w:numId w:val="127"/>
        </w:numPr>
        <w:spacing w:before="120" w:after="120" w:line="288" w:lineRule="auto"/>
        <w:ind w:left="0"/>
        <w:jc w:val="left"/>
      </w:pPr>
      <w:r>
        <w:rPr>
          <w:rFonts w:eastAsia="等线" w:ascii="Arial" w:cs="Arial" w:hAnsi="Arial"/>
          <w:sz w:val="22"/>
        </w:rPr>
        <w:t>Description/About Us section</w:t>
      </w:r>
    </w:p>
    <w:p>
      <w:pPr>
        <w:numPr>
          <w:numId w:val="128"/>
        </w:numPr>
        <w:spacing w:before="120" w:after="120" w:line="288" w:lineRule="auto"/>
        <w:ind w:left="0"/>
        <w:jc w:val="left"/>
      </w:pPr>
      <w:r>
        <w:rPr>
          <w:rFonts w:eastAsia="等线" w:ascii="Arial" w:cs="Arial" w:hAnsi="Arial"/>
          <w:sz w:val="22"/>
        </w:rPr>
        <w:t>Category/Tags (e.g., Policies, SOPs, Training, FAQ)</w:t>
      </w:r>
    </w:p>
    <w:p>
      <w:pPr>
        <w:pStyle w:val="5"/>
        <w:spacing w:before="240" w:after="120" w:line="288" w:lineRule="auto"/>
        <w:ind w:left="0"/>
        <w:jc w:val="left"/>
        <w:outlineLvl w:val="4"/>
      </w:pPr>
      <w:bookmarkStart w:name="heading_37" w:id="37"/>
      <w:r>
        <w:rPr>
          <w:rFonts w:eastAsia="等线" w:ascii="Arial" w:cs="Arial" w:hAnsi="Arial"/>
          <w:color w:val="3370ff"/>
          <w:sz w:val="24"/>
        </w:rPr>
        <w:t xml:space="preserve">3.3.4.1.2 </w:t>
      </w:r>
      <w:r>
        <w:rPr>
          <w:rFonts w:eastAsia="等线" w:ascii="Arial" w:cs="Arial" w:hAnsi="Arial"/>
          <w:b w:val="true"/>
          <w:sz w:val="24"/>
        </w:rPr>
        <w:t>Registration &amp; Compliance</w:t>
      </w:r>
      <w:bookmarkEnd w:id="37"/>
    </w:p>
    <w:p>
      <w:pPr>
        <w:numPr>
          <w:numId w:val="129"/>
        </w:numPr>
        <w:spacing w:before="120" w:after="120" w:line="288" w:lineRule="auto"/>
        <w:ind w:left="0"/>
        <w:jc w:val="left"/>
      </w:pPr>
      <w:r>
        <w:rPr>
          <w:rFonts w:eastAsia="等线" w:ascii="Arial" w:cs="Arial" w:hAnsi="Arial"/>
          <w:sz w:val="22"/>
        </w:rPr>
        <w:t>Business Registration Number / License ID</w:t>
      </w:r>
    </w:p>
    <w:p>
      <w:pPr>
        <w:numPr>
          <w:numId w:val="130"/>
        </w:numPr>
        <w:spacing w:before="120" w:after="120" w:line="288" w:lineRule="auto"/>
        <w:ind w:left="0"/>
        <w:jc w:val="left"/>
      </w:pPr>
      <w:r>
        <w:rPr>
          <w:rFonts w:eastAsia="等线" w:ascii="Arial" w:cs="Arial" w:hAnsi="Arial"/>
          <w:sz w:val="22"/>
        </w:rPr>
        <w:t>Tax Identification Number (TIN / VAT / GST ID)</w:t>
      </w:r>
    </w:p>
    <w:p>
      <w:pPr>
        <w:numPr>
          <w:numId w:val="131"/>
        </w:numPr>
        <w:spacing w:before="120" w:after="120" w:line="288" w:lineRule="auto"/>
        <w:ind w:left="0"/>
        <w:jc w:val="left"/>
      </w:pPr>
      <w:r>
        <w:rPr>
          <w:rFonts w:eastAsia="等线" w:ascii="Arial" w:cs="Arial" w:hAnsi="Arial"/>
          <w:sz w:val="22"/>
        </w:rPr>
        <w:t>Legal Entity Type (LLC, Partnership, Sole Proprietorship)</w:t>
      </w:r>
    </w:p>
    <w:p>
      <w:pPr>
        <w:numPr>
          <w:numId w:val="132"/>
        </w:numPr>
        <w:spacing w:before="120" w:after="120" w:line="288" w:lineRule="auto"/>
        <w:ind w:left="0"/>
        <w:jc w:val="left"/>
      </w:pPr>
      <w:r>
        <w:rPr>
          <w:rFonts w:eastAsia="等线" w:ascii="Arial" w:cs="Arial" w:hAnsi="Arial"/>
          <w:sz w:val="22"/>
        </w:rPr>
        <w:t>Year Established / Incorporation Date</w:t>
      </w:r>
    </w:p>
    <w:p>
      <w:pPr>
        <w:pStyle w:val="5"/>
        <w:spacing w:before="240" w:after="120" w:line="288" w:lineRule="auto"/>
        <w:ind w:left="0"/>
        <w:jc w:val="left"/>
        <w:outlineLvl w:val="4"/>
      </w:pPr>
      <w:bookmarkStart w:name="heading_38" w:id="38"/>
      <w:r>
        <w:rPr>
          <w:rFonts w:eastAsia="等线" w:ascii="Arial" w:cs="Arial" w:hAnsi="Arial"/>
          <w:color w:val="3370ff"/>
          <w:sz w:val="24"/>
        </w:rPr>
        <w:t xml:space="preserve">3.3.4.1.3 </w:t>
      </w:r>
      <w:r>
        <w:rPr>
          <w:rFonts w:eastAsia="等线" w:ascii="Arial" w:cs="Arial" w:hAnsi="Arial"/>
          <w:b w:val="true"/>
          <w:sz w:val="24"/>
        </w:rPr>
        <w:t>Location &amp; Operations</w:t>
      </w:r>
      <w:bookmarkEnd w:id="38"/>
    </w:p>
    <w:p>
      <w:pPr>
        <w:numPr>
          <w:numId w:val="133"/>
        </w:numPr>
        <w:spacing w:before="120" w:after="120" w:line="288" w:lineRule="auto"/>
        <w:ind w:left="0"/>
        <w:jc w:val="left"/>
      </w:pPr>
      <w:r>
        <w:rPr>
          <w:rFonts w:eastAsia="等线" w:ascii="Arial" w:cs="Arial" w:hAnsi="Arial"/>
          <w:sz w:val="22"/>
        </w:rPr>
        <w:t>Headquarters, branch, and warehouse addresses</w:t>
      </w:r>
    </w:p>
    <w:p>
      <w:pPr>
        <w:numPr>
          <w:numId w:val="134"/>
        </w:numPr>
        <w:spacing w:before="120" w:after="120" w:line="288" w:lineRule="auto"/>
        <w:ind w:left="0"/>
        <w:jc w:val="left"/>
      </w:pPr>
      <w:r>
        <w:rPr>
          <w:rFonts w:eastAsia="等线" w:ascii="Arial" w:cs="Arial" w:hAnsi="Arial"/>
          <w:sz w:val="22"/>
        </w:rPr>
        <w:t>Outlet details (name, code, address, geotag, operating hours, assigned contact)</w:t>
      </w:r>
    </w:p>
    <w:p>
      <w:pPr>
        <w:numPr>
          <w:numId w:val="135"/>
        </w:numPr>
        <w:spacing w:before="120" w:after="120" w:line="288" w:lineRule="auto"/>
        <w:ind w:left="0"/>
        <w:jc w:val="left"/>
      </w:pPr>
      <w:r>
        <w:rPr>
          <w:rFonts w:eastAsia="等线" w:ascii="Arial" w:cs="Arial" w:hAnsi="Arial"/>
          <w:sz w:val="22"/>
        </w:rPr>
        <w:t>Status: Active / Closed</w:t>
      </w:r>
    </w:p>
    <w:p>
      <w:pPr>
        <w:pStyle w:val="5"/>
        <w:spacing w:before="240" w:after="120" w:line="288" w:lineRule="auto"/>
        <w:ind w:left="0"/>
        <w:jc w:val="left"/>
        <w:outlineLvl w:val="4"/>
      </w:pPr>
      <w:bookmarkStart w:name="heading_39" w:id="39"/>
      <w:r>
        <w:rPr>
          <w:rFonts w:eastAsia="等线" w:ascii="Arial" w:cs="Arial" w:hAnsi="Arial"/>
          <w:color w:val="3370ff"/>
          <w:sz w:val="24"/>
        </w:rPr>
        <w:t xml:space="preserve">3.3.4.1.4 </w:t>
      </w:r>
      <w:r>
        <w:rPr>
          <w:rFonts w:eastAsia="等线" w:ascii="Arial" w:cs="Arial" w:hAnsi="Arial"/>
          <w:b w:val="true"/>
          <w:sz w:val="24"/>
        </w:rPr>
        <w:t>Contacts</w:t>
      </w:r>
      <w:bookmarkEnd w:id="39"/>
    </w:p>
    <w:p>
      <w:pPr>
        <w:numPr>
          <w:numId w:val="136"/>
        </w:numPr>
        <w:spacing w:before="120" w:after="120" w:line="288" w:lineRule="auto"/>
        <w:ind w:left="0"/>
        <w:jc w:val="left"/>
      </w:pPr>
      <w:r>
        <w:rPr>
          <w:rFonts w:eastAsia="等线" w:ascii="Arial" w:cs="Arial" w:hAnsi="Arial"/>
          <w:sz w:val="22"/>
        </w:rPr>
        <w:t>Primary Contact Person</w:t>
      </w:r>
    </w:p>
    <w:p>
      <w:pPr>
        <w:numPr>
          <w:numId w:val="137"/>
        </w:numPr>
        <w:spacing w:before="120" w:after="120" w:line="288" w:lineRule="auto"/>
        <w:ind w:left="0"/>
        <w:jc w:val="left"/>
      </w:pPr>
      <w:r>
        <w:rPr>
          <w:rFonts w:eastAsia="等线" w:ascii="Arial" w:cs="Arial" w:hAnsi="Arial"/>
          <w:sz w:val="22"/>
        </w:rPr>
        <w:t>Multiple contacts supported (e.g., Finance, Sales, Support)</w:t>
      </w:r>
    </w:p>
    <w:p>
      <w:pPr>
        <w:pStyle w:val="5"/>
        <w:spacing w:before="240" w:after="120" w:line="288" w:lineRule="auto"/>
        <w:ind w:left="0"/>
        <w:jc w:val="left"/>
        <w:outlineLvl w:val="4"/>
      </w:pPr>
      <w:bookmarkStart w:name="heading_40" w:id="40"/>
      <w:r>
        <w:rPr>
          <w:rFonts w:eastAsia="等线" w:ascii="Arial" w:cs="Arial" w:hAnsi="Arial"/>
          <w:color w:val="3370ff"/>
          <w:sz w:val="24"/>
        </w:rPr>
        <w:t xml:space="preserve">3.3.4.1.5 </w:t>
      </w:r>
      <w:r>
        <w:rPr>
          <w:rFonts w:eastAsia="等线" w:ascii="Arial" w:cs="Arial" w:hAnsi="Arial"/>
          <w:b w:val="true"/>
          <w:sz w:val="24"/>
        </w:rPr>
        <w:t>Application-Specific Configurations</w:t>
      </w:r>
      <w:bookmarkEnd w:id="40"/>
    </w:p>
    <w:p>
      <w:pPr>
        <w:numPr>
          <w:numId w:val="138"/>
        </w:numPr>
        <w:spacing w:before="120" w:after="120" w:line="288" w:lineRule="auto"/>
        <w:ind w:left="0"/>
        <w:jc w:val="left"/>
      </w:pPr>
      <w:r>
        <w:rPr>
          <w:rFonts w:eastAsia="等线" w:ascii="Arial" w:cs="Arial" w:hAnsi="Arial"/>
          <w:sz w:val="22"/>
        </w:rPr>
        <w:t>Default Payment Methods (bank transfer, card, e-wallets)</w:t>
      </w:r>
    </w:p>
    <w:p>
      <w:pPr>
        <w:numPr>
          <w:numId w:val="139"/>
        </w:numPr>
        <w:spacing w:before="120" w:after="120" w:line="288" w:lineRule="auto"/>
        <w:ind w:left="0"/>
        <w:jc w:val="left"/>
      </w:pPr>
      <w:r>
        <w:rPr>
          <w:rFonts w:eastAsia="等线" w:ascii="Arial" w:cs="Arial" w:hAnsi="Arial"/>
          <w:sz w:val="22"/>
        </w:rPr>
        <w:t>Default Shipping/Delivery Preferences</w:t>
      </w:r>
    </w:p>
    <w:p>
      <w:pPr>
        <w:numPr>
          <w:numId w:val="140"/>
        </w:numPr>
        <w:spacing w:before="120" w:after="120" w:line="288" w:lineRule="auto"/>
        <w:ind w:left="0"/>
        <w:jc w:val="left"/>
      </w:pPr>
      <w:r>
        <w:rPr>
          <w:rFonts w:eastAsia="等线" w:ascii="Arial" w:cs="Arial" w:hAnsi="Arial"/>
          <w:sz w:val="22"/>
        </w:rPr>
        <w:t>Order Approval Workflow (auto/manual approval rules)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3.3.4.2 </w:t>
      </w:r>
      <w:r>
        <w:rPr>
          <w:rFonts w:eastAsia="等线" w:ascii="Arial" w:cs="Arial" w:hAnsi="Arial"/>
          <w:b w:val="true"/>
          <w:sz w:val="28"/>
        </w:rPr>
        <w:t>Company Business Profile</w:t>
      </w:r>
      <w:bookmarkEnd w:id="41"/>
    </w:p>
    <w:p>
      <w:pPr>
        <w:numPr>
          <w:numId w:val="141"/>
        </w:numPr>
        <w:spacing w:before="120" w:after="120" w:line="288" w:lineRule="auto"/>
        <w:ind w:left="0"/>
        <w:jc w:val="left"/>
      </w:pPr>
      <w:r>
        <w:rPr>
          <w:rFonts w:eastAsia="等线" w:ascii="Arial" w:cs="Arial" w:hAnsi="Arial"/>
          <w:sz w:val="22"/>
        </w:rPr>
        <w:t>Annual Revenue (range – optional, for analytics)</w:t>
      </w:r>
    </w:p>
    <w:p>
      <w:pPr>
        <w:numPr>
          <w:numId w:val="142"/>
        </w:numPr>
        <w:spacing w:before="120" w:after="120" w:line="288" w:lineRule="auto"/>
        <w:ind w:left="0"/>
        <w:jc w:val="left"/>
      </w:pPr>
      <w:r>
        <w:rPr>
          <w:rFonts w:eastAsia="等线" w:ascii="Arial" w:cs="Arial" w:hAnsi="Arial"/>
          <w:sz w:val="22"/>
        </w:rPr>
        <w:t>Number of Employees</w:t>
      </w:r>
    </w:p>
    <w:p>
      <w:pPr>
        <w:numPr>
          <w:numId w:val="143"/>
        </w:numPr>
        <w:spacing w:before="120" w:after="120" w:line="288" w:lineRule="auto"/>
        <w:ind w:left="0"/>
        <w:jc w:val="left"/>
      </w:pPr>
      <w:r>
        <w:rPr>
          <w:rFonts w:eastAsia="等线" w:ascii="Arial" w:cs="Arial" w:hAnsi="Arial"/>
          <w:sz w:val="22"/>
        </w:rPr>
        <w:t>Market/Region of Operation (domestic or international)</w:t>
      </w:r>
    </w:p>
    <w:p>
      <w:pPr>
        <w:numPr>
          <w:numId w:val="144"/>
        </w:numPr>
        <w:spacing w:before="120" w:after="120" w:line="288" w:lineRule="auto"/>
        <w:ind w:left="0"/>
        <w:jc w:val="left"/>
      </w:pPr>
      <w:r>
        <w:rPr>
          <w:rFonts w:eastAsia="等线" w:ascii="Arial" w:cs="Arial" w:hAnsi="Arial"/>
          <w:sz w:val="22"/>
        </w:rPr>
        <w:t>Preferred Currency</w:t>
      </w:r>
    </w:p>
    <w:p>
      <w:pPr>
        <w:pStyle w:val="5"/>
        <w:spacing w:before="240" w:after="120" w:line="288" w:lineRule="auto"/>
        <w:ind w:left="0"/>
        <w:jc w:val="left"/>
        <w:outlineLvl w:val="4"/>
      </w:pPr>
      <w:bookmarkStart w:name="heading_42" w:id="42"/>
      <w:r>
        <w:rPr>
          <w:rFonts w:eastAsia="等线" w:ascii="Arial" w:cs="Arial" w:hAnsi="Arial"/>
          <w:color w:val="3370ff"/>
          <w:sz w:val="24"/>
        </w:rPr>
        <w:t xml:space="preserve">3.3.4.2.1 </w:t>
      </w:r>
      <w:r>
        <w:rPr>
          <w:rFonts w:eastAsia="等线" w:ascii="Arial" w:cs="Arial" w:hAnsi="Arial"/>
          <w:b w:val="true"/>
          <w:sz w:val="24"/>
        </w:rPr>
        <w:t>Subsidiaries</w:t>
      </w:r>
      <w:bookmarkEnd w:id="42"/>
    </w:p>
    <w:p>
      <w:pPr>
        <w:numPr>
          <w:numId w:val="145"/>
        </w:numPr>
        <w:spacing w:before="120" w:after="120" w:line="288" w:lineRule="auto"/>
        <w:ind w:left="0"/>
        <w:jc w:val="left"/>
      </w:pPr>
      <w:r>
        <w:rPr>
          <w:rFonts w:eastAsia="等线" w:ascii="Arial" w:cs="Arial" w:hAnsi="Arial"/>
          <w:sz w:val="22"/>
        </w:rPr>
        <w:t>Subsidiary Name and ID (system-assigned)</w:t>
      </w:r>
    </w:p>
    <w:p>
      <w:pPr>
        <w:numPr>
          <w:numId w:val="146"/>
        </w:numPr>
        <w:spacing w:before="120" w:after="120" w:line="288" w:lineRule="auto"/>
        <w:ind w:left="0"/>
        <w:jc w:val="left"/>
      </w:pPr>
      <w:r>
        <w:rPr>
          <w:rFonts w:eastAsia="等线" w:ascii="Arial" w:cs="Arial" w:hAnsi="Arial"/>
          <w:sz w:val="22"/>
        </w:rPr>
        <w:t>Registration &amp; Compliance details</w:t>
      </w:r>
    </w:p>
    <w:p>
      <w:pPr>
        <w:numPr>
          <w:numId w:val="147"/>
        </w:numPr>
        <w:spacing w:before="120" w:after="120" w:line="288" w:lineRule="auto"/>
        <w:ind w:left="0"/>
        <w:jc w:val="left"/>
      </w:pPr>
      <w:r>
        <w:rPr>
          <w:rFonts w:eastAsia="等线" w:ascii="Arial" w:cs="Arial" w:hAnsi="Arial"/>
          <w:sz w:val="22"/>
        </w:rPr>
        <w:t>Address, Contacts, Status (Active/Closed)</w:t>
      </w:r>
    </w:p>
    <w:p>
      <w:pPr>
        <w:pStyle w:val="5"/>
        <w:spacing w:before="240" w:after="120" w:line="288" w:lineRule="auto"/>
        <w:ind w:left="0"/>
        <w:jc w:val="left"/>
        <w:outlineLvl w:val="4"/>
      </w:pPr>
      <w:bookmarkStart w:name="heading_43" w:id="43"/>
      <w:r>
        <w:rPr>
          <w:rFonts w:eastAsia="等线" w:ascii="Arial" w:cs="Arial" w:hAnsi="Arial"/>
          <w:color w:val="3370ff"/>
          <w:sz w:val="24"/>
        </w:rPr>
        <w:t xml:space="preserve">3.3.4.2.2 </w:t>
      </w:r>
      <w:r>
        <w:rPr>
          <w:rFonts w:eastAsia="等线" w:ascii="Arial" w:cs="Arial" w:hAnsi="Arial"/>
          <w:b w:val="true"/>
          <w:sz w:val="24"/>
        </w:rPr>
        <w:t>Outlets (Retail)</w:t>
      </w:r>
      <w:bookmarkEnd w:id="43"/>
    </w:p>
    <w:p>
      <w:pPr>
        <w:numPr>
          <w:numId w:val="148"/>
        </w:numPr>
        <w:spacing w:before="120" w:after="120" w:line="288" w:lineRule="auto"/>
        <w:ind w:left="0"/>
        <w:jc w:val="left"/>
      </w:pPr>
      <w:r>
        <w:rPr>
          <w:rFonts w:eastAsia="等线" w:ascii="Arial" w:cs="Arial" w:hAnsi="Arial"/>
          <w:sz w:val="22"/>
        </w:rPr>
        <w:t>Outlet Name and ID (system-assigned)</w:t>
      </w:r>
    </w:p>
    <w:p>
      <w:pPr>
        <w:numPr>
          <w:numId w:val="149"/>
        </w:numPr>
        <w:spacing w:before="120" w:after="120" w:line="288" w:lineRule="auto"/>
        <w:ind w:left="0"/>
        <w:jc w:val="left"/>
      </w:pPr>
      <w:r>
        <w:rPr>
          <w:rFonts w:eastAsia="等线" w:ascii="Arial" w:cs="Arial" w:hAnsi="Arial"/>
          <w:sz w:val="22"/>
        </w:rPr>
        <w:t>Location (address, geotag, map link)</w:t>
      </w:r>
    </w:p>
    <w:p>
      <w:pPr>
        <w:numPr>
          <w:numId w:val="150"/>
        </w:numPr>
        <w:spacing w:before="120" w:after="120" w:line="288" w:lineRule="auto"/>
        <w:ind w:left="0"/>
        <w:jc w:val="left"/>
      </w:pPr>
      <w:r>
        <w:rPr>
          <w:rFonts w:eastAsia="等线" w:ascii="Arial" w:cs="Arial" w:hAnsi="Arial"/>
          <w:sz w:val="22"/>
        </w:rPr>
        <w:t>Assigned Contact Person &amp; Phone</w:t>
      </w:r>
    </w:p>
    <w:p>
      <w:pPr>
        <w:numPr>
          <w:numId w:val="151"/>
        </w:numPr>
        <w:spacing w:before="120" w:after="120" w:line="288" w:lineRule="auto"/>
        <w:ind w:left="0"/>
        <w:jc w:val="left"/>
      </w:pPr>
      <w:r>
        <w:rPr>
          <w:rFonts w:eastAsia="等线" w:ascii="Arial" w:cs="Arial" w:hAnsi="Arial"/>
          <w:sz w:val="22"/>
        </w:rPr>
        <w:t>Operating Hours and Status (Active/Closed)</w:t>
      </w:r>
    </w:p>
    <w:p>
      <w:pPr>
        <w:pStyle w:val="5"/>
        <w:spacing w:before="240" w:after="120" w:line="288" w:lineRule="auto"/>
        <w:ind w:left="0"/>
        <w:jc w:val="left"/>
        <w:outlineLvl w:val="4"/>
      </w:pPr>
      <w:bookmarkStart w:name="heading_44" w:id="44"/>
      <w:r>
        <w:rPr>
          <w:rFonts w:eastAsia="等线" w:ascii="Arial" w:cs="Arial" w:hAnsi="Arial"/>
          <w:color w:val="3370ff"/>
          <w:sz w:val="24"/>
        </w:rPr>
        <w:t xml:space="preserve">3.3.4.2.3 </w:t>
      </w:r>
      <w:r>
        <w:rPr>
          <w:rFonts w:eastAsia="等线" w:ascii="Arial" w:cs="Arial" w:hAnsi="Arial"/>
          <w:b w:val="true"/>
          <w:sz w:val="24"/>
        </w:rPr>
        <w:t>POS Information (per Outlet)</w:t>
      </w:r>
      <w:bookmarkEnd w:id="44"/>
    </w:p>
    <w:p>
      <w:pPr>
        <w:numPr>
          <w:numId w:val="152"/>
        </w:numPr>
        <w:spacing w:before="120" w:after="120" w:line="288" w:lineRule="auto"/>
        <w:ind w:left="0"/>
        <w:jc w:val="left"/>
      </w:pPr>
      <w:r>
        <w:rPr>
          <w:rFonts w:eastAsia="等线" w:ascii="Arial" w:cs="Arial" w:hAnsi="Arial"/>
          <w:sz w:val="22"/>
        </w:rPr>
        <w:t>POS Provider and Terminal IDs</w:t>
      </w:r>
    </w:p>
    <w:p>
      <w:pPr>
        <w:numPr>
          <w:numId w:val="153"/>
        </w:numPr>
        <w:spacing w:before="120" w:after="120" w:line="288" w:lineRule="auto"/>
        <w:ind w:left="0"/>
        <w:jc w:val="left"/>
      </w:pPr>
      <w:r>
        <w:rPr>
          <w:rFonts w:eastAsia="等线" w:ascii="Arial" w:cs="Arial" w:hAnsi="Arial"/>
          <w:sz w:val="22"/>
        </w:rPr>
        <w:t>Supported Payment Methods (cash, card, QR)</w:t>
      </w:r>
    </w:p>
    <w:p>
      <w:pPr>
        <w:numPr>
          <w:numId w:val="154"/>
        </w:numPr>
        <w:spacing w:before="120" w:after="120" w:line="288" w:lineRule="auto"/>
        <w:ind w:left="0"/>
        <w:jc w:val="left"/>
      </w:pPr>
      <w:r>
        <w:rPr>
          <w:rFonts w:eastAsia="等线" w:ascii="Arial" w:cs="Arial" w:hAnsi="Arial"/>
          <w:sz w:val="22"/>
        </w:rPr>
        <w:t>Receipt Configuration (logo, headers/footers, tax ID)</w:t>
      </w:r>
    </w:p>
    <w:p>
      <w:pPr>
        <w:numPr>
          <w:numId w:val="155"/>
        </w:numPr>
        <w:spacing w:before="120" w:after="120" w:line="288" w:lineRule="auto"/>
        <w:ind w:left="0"/>
        <w:jc w:val="left"/>
      </w:pPr>
      <w:r>
        <w:rPr>
          <w:rFonts w:eastAsia="等线" w:ascii="Arial" w:cs="Arial" w:hAnsi="Arial"/>
          <w:sz w:val="22"/>
        </w:rPr>
        <w:t>Integration Status: Active / Disabled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3.3.4.3 </w:t>
      </w:r>
      <w:r>
        <w:rPr>
          <w:rFonts w:eastAsia="等线" w:ascii="Arial" w:cs="Arial" w:hAnsi="Arial"/>
          <w:b w:val="true"/>
          <w:sz w:val="28"/>
        </w:rPr>
        <w:t>Company Sales Channels</w:t>
      </w:r>
      <w:bookmarkEnd w:id="45"/>
    </w:p>
    <w:p>
      <w:pPr>
        <w:numPr>
          <w:numId w:val="156"/>
        </w:numPr>
        <w:spacing w:before="120" w:after="120" w:line="288" w:lineRule="auto"/>
        <w:ind w:left="0"/>
        <w:jc w:val="left"/>
      </w:pPr>
      <w:r>
        <w:rPr>
          <w:rFonts w:eastAsia="等线" w:ascii="Arial" w:cs="Arial" w:hAnsi="Arial"/>
          <w:sz w:val="22"/>
        </w:rPr>
        <w:t>Channel Name (Shopee, Lazada, Amazon, Shopify, etc.)</w:t>
      </w:r>
    </w:p>
    <w:p>
      <w:pPr>
        <w:numPr>
          <w:numId w:val="157"/>
        </w:numPr>
        <w:spacing w:before="120" w:after="120" w:line="288" w:lineRule="auto"/>
        <w:ind w:left="0"/>
        <w:jc w:val="left"/>
      </w:pPr>
      <w:r>
        <w:rPr>
          <w:rFonts w:eastAsia="等线" w:ascii="Arial" w:cs="Arial" w:hAnsi="Arial"/>
          <w:sz w:val="22"/>
        </w:rPr>
        <w:t>Channel Type (Marketplace / Storefront)</w:t>
      </w:r>
    </w:p>
    <w:p>
      <w:pPr>
        <w:numPr>
          <w:numId w:val="158"/>
        </w:numPr>
        <w:spacing w:before="120" w:after="120" w:line="288" w:lineRule="auto"/>
        <w:ind w:left="0"/>
        <w:jc w:val="left"/>
      </w:pPr>
      <w:r>
        <w:rPr>
          <w:rFonts w:eastAsia="等线" w:ascii="Arial" w:cs="Arial" w:hAnsi="Arial"/>
          <w:sz w:val="22"/>
        </w:rPr>
        <w:t>API Credentials (key, secret, webhook URL)</w:t>
      </w:r>
    </w:p>
    <w:p>
      <w:pPr>
        <w:numPr>
          <w:numId w:val="159"/>
        </w:numPr>
        <w:spacing w:before="120" w:after="120" w:line="288" w:lineRule="auto"/>
        <w:ind w:left="0"/>
        <w:jc w:val="left"/>
      </w:pPr>
      <w:r>
        <w:rPr>
          <w:rFonts w:eastAsia="等线" w:ascii="Arial" w:cs="Arial" w:hAnsi="Arial"/>
          <w:sz w:val="22"/>
        </w:rPr>
        <w:t>Sync Settings (orders, inventory, customers)</w:t>
      </w:r>
    </w:p>
    <w:p>
      <w:pPr>
        <w:numPr>
          <w:numId w:val="160"/>
        </w:numPr>
        <w:spacing w:before="120" w:after="120" w:line="288" w:lineRule="auto"/>
        <w:ind w:left="0"/>
        <w:jc w:val="left"/>
      </w:pPr>
      <w:r>
        <w:rPr>
          <w:rFonts w:eastAsia="等线" w:ascii="Arial" w:cs="Arial" w:hAnsi="Arial"/>
          <w:sz w:val="22"/>
        </w:rPr>
        <w:t>Status: Active / Inactive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6" w:id="46"/>
      <w:r>
        <w:rPr>
          <w:rFonts w:eastAsia="等线" w:ascii="Arial" w:cs="Arial" w:hAnsi="Arial"/>
          <w:color w:val="3370ff"/>
          <w:sz w:val="28"/>
        </w:rPr>
        <w:t xml:space="preserve">3.3.4.4 </w:t>
      </w:r>
      <w:r>
        <w:rPr>
          <w:rFonts w:eastAsia="等线" w:ascii="Arial" w:cs="Arial" w:hAnsi="Arial"/>
          <w:b w:val="true"/>
          <w:sz w:val="28"/>
        </w:rPr>
        <w:t>Company Billing &amp; Payment</w:t>
      </w:r>
      <w:bookmarkEnd w:id="46"/>
    </w:p>
    <w:p>
      <w:pPr>
        <w:pStyle w:val="5"/>
        <w:spacing w:before="240" w:after="120" w:line="288" w:lineRule="auto"/>
        <w:ind w:left="0"/>
        <w:jc w:val="left"/>
        <w:outlineLvl w:val="4"/>
      </w:pPr>
      <w:bookmarkStart w:name="heading_47" w:id="47"/>
      <w:r>
        <w:rPr>
          <w:rFonts w:eastAsia="等线" w:ascii="Arial" w:cs="Arial" w:hAnsi="Arial"/>
          <w:color w:val="3370ff"/>
          <w:sz w:val="24"/>
        </w:rPr>
        <w:t xml:space="preserve">3.3.4.4.1 </w:t>
      </w:r>
      <w:r>
        <w:rPr>
          <w:rFonts w:eastAsia="等线" w:ascii="Arial" w:cs="Arial" w:hAnsi="Arial"/>
          <w:b w:val="true"/>
          <w:sz w:val="24"/>
        </w:rPr>
        <w:t>Billing Information</w:t>
      </w:r>
      <w:bookmarkEnd w:id="47"/>
    </w:p>
    <w:p>
      <w:pPr>
        <w:numPr>
          <w:numId w:val="161"/>
        </w:numPr>
        <w:spacing w:before="120" w:after="120" w:line="288" w:lineRule="auto"/>
        <w:ind w:left="0"/>
        <w:jc w:val="left"/>
      </w:pPr>
      <w:r>
        <w:rPr>
          <w:rFonts w:eastAsia="等线" w:ascii="Arial" w:cs="Arial" w:hAnsi="Arial"/>
          <w:sz w:val="22"/>
        </w:rPr>
        <w:t>Billing ID (system-assigned, linked to Payex)</w:t>
      </w:r>
    </w:p>
    <w:p>
      <w:pPr>
        <w:numPr>
          <w:numId w:val="162"/>
        </w:numPr>
        <w:spacing w:before="120" w:after="120" w:line="288" w:lineRule="auto"/>
        <w:ind w:left="0"/>
        <w:jc w:val="left"/>
      </w:pPr>
      <w:r>
        <w:rPr>
          <w:rFonts w:eastAsia="等线" w:ascii="Arial" w:cs="Arial" w:hAnsi="Arial"/>
          <w:sz w:val="22"/>
        </w:rPr>
        <w:t>Billing Address (default = HQ address, editable)</w:t>
      </w:r>
    </w:p>
    <w:p>
      <w:pPr>
        <w:numPr>
          <w:numId w:val="163"/>
        </w:numPr>
        <w:spacing w:before="120" w:after="120" w:line="288" w:lineRule="auto"/>
        <w:ind w:left="0"/>
        <w:jc w:val="left"/>
      </w:pPr>
      <w:r>
        <w:rPr>
          <w:rFonts w:eastAsia="等线" w:ascii="Arial" w:cs="Arial" w:hAnsi="Arial"/>
          <w:sz w:val="22"/>
        </w:rPr>
        <w:t>Invoice Recipient (person/department)</w:t>
      </w:r>
    </w:p>
    <w:p>
      <w:pPr>
        <w:numPr>
          <w:numId w:val="164"/>
        </w:numPr>
        <w:spacing w:before="120" w:after="120" w:line="288" w:lineRule="auto"/>
        <w:ind w:left="0"/>
        <w:jc w:val="left"/>
      </w:pPr>
      <w:r>
        <w:rPr>
          <w:rFonts w:eastAsia="等线" w:ascii="Arial" w:cs="Arial" w:hAnsi="Arial"/>
          <w:sz w:val="22"/>
        </w:rPr>
        <w:t>Invoice Email Address and Billing Contact Number</w:t>
      </w:r>
    </w:p>
    <w:p>
      <w:pPr>
        <w:pStyle w:val="5"/>
        <w:spacing w:before="240" w:after="120" w:line="288" w:lineRule="auto"/>
        <w:ind w:left="0"/>
        <w:jc w:val="left"/>
        <w:outlineLvl w:val="4"/>
      </w:pPr>
      <w:bookmarkStart w:name="heading_48" w:id="48"/>
      <w:r>
        <w:rPr>
          <w:rFonts w:eastAsia="等线" w:ascii="Arial" w:cs="Arial" w:hAnsi="Arial"/>
          <w:color w:val="3370ff"/>
          <w:sz w:val="24"/>
        </w:rPr>
        <w:t xml:space="preserve">3.3.4.4.2 </w:t>
      </w:r>
      <w:r>
        <w:rPr>
          <w:rFonts w:eastAsia="等线" w:ascii="Arial" w:cs="Arial" w:hAnsi="Arial"/>
          <w:b w:val="true"/>
          <w:sz w:val="24"/>
        </w:rPr>
        <w:t>Payment Methods</w:t>
      </w:r>
      <w:bookmarkEnd w:id="48"/>
    </w:p>
    <w:p>
      <w:pPr>
        <w:numPr>
          <w:numId w:val="165"/>
        </w:numPr>
        <w:spacing w:before="120" w:after="120" w:line="288" w:lineRule="auto"/>
        <w:ind w:left="0"/>
        <w:jc w:val="left"/>
      </w:pPr>
      <w:r>
        <w:rPr>
          <w:rFonts w:eastAsia="等线" w:ascii="Arial" w:cs="Arial" w:hAnsi="Arial"/>
          <w:sz w:val="22"/>
        </w:rPr>
        <w:t>Default and stored accounts (bank, corporate card, e-wallets)</w:t>
      </w:r>
    </w:p>
    <w:p>
      <w:pPr>
        <w:numPr>
          <w:numId w:val="166"/>
        </w:numPr>
        <w:spacing w:before="120" w:after="120" w:line="288" w:lineRule="auto"/>
        <w:ind w:left="0"/>
        <w:jc w:val="left"/>
      </w:pPr>
      <w:r>
        <w:rPr>
          <w:rFonts w:eastAsia="等线" w:ascii="Arial" w:cs="Arial" w:hAnsi="Arial"/>
          <w:sz w:val="22"/>
        </w:rPr>
        <w:t>Preferred Payment Currency</w:t>
      </w:r>
    </w:p>
    <w:p>
      <w:pPr>
        <w:numPr>
          <w:numId w:val="167"/>
        </w:numPr>
        <w:spacing w:before="120" w:after="120" w:line="288" w:lineRule="auto"/>
        <w:ind w:left="0"/>
        <w:jc w:val="left"/>
      </w:pPr>
      <w:r>
        <w:rPr>
          <w:rFonts w:eastAsia="等线" w:ascii="Arial" w:cs="Arial" w:hAnsi="Arial"/>
          <w:sz w:val="22"/>
        </w:rPr>
        <w:t>Payment Terms (Net 30, Net 60, Due on Receipt, etc.)</w:t>
      </w:r>
    </w:p>
    <w:p>
      <w:pPr>
        <w:spacing w:before="120" w:after="120" w:line="288" w:lineRule="auto"/>
        <w:ind w:left="0"/>
        <w:jc w:val="left"/>
      </w:pPr>
      <w:r>
        <w:rPr>
          <w:rFonts w:eastAsia="等线" w:ascii="Arial" w:cs="Arial" w:hAnsi="Arial"/>
          <w:b w:val="true"/>
          <w:sz w:val="22"/>
        </w:rPr>
        <w:t>Invoices &amp; Statements</w:t>
      </w:r>
    </w:p>
    <w:p>
      <w:pPr>
        <w:numPr>
          <w:numId w:val="168"/>
        </w:numPr>
        <w:spacing w:before="120" w:after="120" w:line="288" w:lineRule="auto"/>
        <w:ind w:left="0"/>
        <w:jc w:val="left"/>
      </w:pPr>
      <w:r>
        <w:rPr>
          <w:rFonts w:eastAsia="等线" w:ascii="Arial" w:cs="Arial" w:hAnsi="Arial"/>
          <w:sz w:val="22"/>
        </w:rPr>
        <w:t>Invoice Frequency (monthly, quarterly, annual)</w:t>
      </w:r>
    </w:p>
    <w:p>
      <w:pPr>
        <w:numPr>
          <w:numId w:val="169"/>
        </w:numPr>
        <w:spacing w:before="120" w:after="120" w:line="288" w:lineRule="auto"/>
        <w:ind w:left="0"/>
        <w:jc w:val="left"/>
      </w:pPr>
      <w:r>
        <w:rPr>
          <w:rFonts w:eastAsia="等线" w:ascii="Arial" w:cs="Arial" w:hAnsi="Arial"/>
          <w:sz w:val="22"/>
        </w:rPr>
        <w:t>Delivery Method (email, portal download, both)</w:t>
      </w:r>
    </w:p>
    <w:p>
      <w:pPr>
        <w:numPr>
          <w:numId w:val="170"/>
        </w:numPr>
        <w:spacing w:before="120" w:after="120" w:line="288" w:lineRule="auto"/>
        <w:ind w:left="0"/>
        <w:jc w:val="left"/>
      </w:pPr>
      <w:r>
        <w:rPr>
          <w:rFonts w:eastAsia="等线" w:ascii="Arial" w:cs="Arial" w:hAnsi="Arial"/>
          <w:sz w:val="22"/>
        </w:rPr>
        <w:t>Invoice Format (PDF, E-invoice, API integration)</w:t>
      </w:r>
    </w:p>
    <w:p>
      <w:pPr>
        <w:numPr>
          <w:numId w:val="171"/>
        </w:numPr>
        <w:spacing w:before="120" w:after="120" w:line="288" w:lineRule="auto"/>
        <w:ind w:left="0"/>
        <w:jc w:val="left"/>
      </w:pPr>
      <w:r>
        <w:rPr>
          <w:rFonts w:eastAsia="等线" w:ascii="Arial" w:cs="Arial" w:hAnsi="Arial"/>
          <w:sz w:val="22"/>
        </w:rPr>
        <w:t>Tax Settings (VAT/GST, exemptions)</w:t>
      </w:r>
    </w:p>
    <w:p>
      <w:pPr>
        <w:spacing w:before="120" w:after="120" w:line="288" w:lineRule="auto"/>
        <w:ind w:left="0"/>
        <w:jc w:val="left"/>
      </w:pPr>
      <w:r>
        <w:rPr>
          <w:rFonts w:eastAsia="等线" w:ascii="Arial" w:cs="Arial" w:hAnsi="Arial"/>
          <w:b w:val="true"/>
          <w:sz w:val="22"/>
        </w:rPr>
        <w:t>Approvals &amp; Controls</w:t>
      </w:r>
    </w:p>
    <w:p>
      <w:pPr>
        <w:numPr>
          <w:numId w:val="172"/>
        </w:numPr>
        <w:spacing w:before="120" w:after="120" w:line="288" w:lineRule="auto"/>
        <w:ind w:left="0"/>
        <w:jc w:val="left"/>
      </w:pPr>
      <w:r>
        <w:rPr>
          <w:rFonts w:eastAsia="等线" w:ascii="Arial" w:cs="Arial" w:hAnsi="Arial"/>
          <w:sz w:val="22"/>
        </w:rPr>
        <w:t>Order Approval Workflow (auto/manual)</w:t>
      </w:r>
    </w:p>
    <w:p>
      <w:pPr>
        <w:numPr>
          <w:numId w:val="173"/>
        </w:numPr>
        <w:spacing w:before="120" w:after="120" w:line="288" w:lineRule="auto"/>
        <w:ind w:left="0"/>
        <w:jc w:val="left"/>
      </w:pPr>
      <w:r>
        <w:rPr>
          <w:rFonts w:eastAsia="等线" w:ascii="Arial" w:cs="Arial" w:hAnsi="Arial"/>
          <w:sz w:val="22"/>
        </w:rPr>
        <w:t>Spending Limit Rules (per transaction, monthly cap)</w:t>
      </w:r>
    </w:p>
    <w:p>
      <w:pPr>
        <w:numPr>
          <w:numId w:val="174"/>
        </w:numPr>
        <w:spacing w:before="120" w:after="120" w:line="288" w:lineRule="auto"/>
        <w:ind w:left="0"/>
        <w:jc w:val="left"/>
      </w:pPr>
      <w:r>
        <w:rPr>
          <w:rFonts w:eastAsia="等线" w:ascii="Arial" w:cs="Arial" w:hAnsi="Arial"/>
          <w:sz w:val="22"/>
        </w:rPr>
        <w:t>Role-Based Approval Matrix (custom approval levels)</w:t>
      </w:r>
    </w:p>
    <w:p>
      <w:pPr>
        <w:spacing w:before="120" w:after="120" w:line="288" w:lineRule="auto"/>
        <w:ind w:left="0"/>
        <w:jc w:val="left"/>
      </w:pPr>
      <w:r>
        <w:rPr>
          <w:rFonts w:eastAsia="等线" w:ascii="Arial" w:cs="Arial" w:hAnsi="Arial"/>
          <w:b w:val="true"/>
          <w:sz w:val="22"/>
        </w:rPr>
        <w:t>Payex Auto-Configuration</w:t>
      </w:r>
    </w:p>
    <w:p>
      <w:pPr>
        <w:numPr>
          <w:numId w:val="175"/>
        </w:numPr>
        <w:spacing w:before="120" w:after="120" w:line="288" w:lineRule="auto"/>
        <w:ind w:left="0"/>
        <w:jc w:val="left"/>
      </w:pPr>
      <w:r>
        <w:rPr>
          <w:rFonts w:eastAsia="等线" w:ascii="Arial" w:cs="Arial" w:hAnsi="Arial"/>
          <w:sz w:val="22"/>
        </w:rPr>
        <w:t>Payex account automatically provisioned once company details are complete</w:t>
      </w:r>
    </w:p>
    <w:p>
      <w:pPr>
        <w:numPr>
          <w:numId w:val="176"/>
        </w:numPr>
        <w:spacing w:before="120" w:after="120" w:line="288" w:lineRule="auto"/>
        <w:ind w:left="0"/>
        <w:jc w:val="left"/>
      </w:pPr>
      <w:r>
        <w:rPr>
          <w:rFonts w:eastAsia="等线" w:ascii="Arial" w:cs="Arial" w:hAnsi="Arial"/>
          <w:sz w:val="22"/>
        </w:rPr>
        <w:t>Defaults include currency payment, tax handling, and payment method</w:t>
      </w:r>
    </w:p>
    <w:p>
      <w:pPr>
        <w:numPr>
          <w:numId w:val="177"/>
        </w:numPr>
        <w:spacing w:before="120" w:after="120" w:line="288" w:lineRule="auto"/>
        <w:ind w:left="0"/>
        <w:jc w:val="left"/>
      </w:pPr>
      <w:r>
        <w:rPr>
          <w:rFonts w:eastAsia="等线" w:ascii="Arial" w:cs="Arial" w:hAnsi="Arial"/>
          <w:sz w:val="22"/>
        </w:rPr>
        <w:t>Users may override settings via Billing &amp; Payments configuration</w:t>
      </w:r>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3.4 </w:t>
      </w:r>
      <w:r>
        <w:rPr>
          <w:rFonts w:eastAsia="等线" w:ascii="Arial" w:cs="Arial" w:hAnsi="Arial"/>
          <w:b w:val="true"/>
          <w:sz w:val="32"/>
        </w:rPr>
        <w:t>Internal Chatbot</w:t>
      </w:r>
      <w:r>
        <w:rPr>
          <w:rFonts w:eastAsia="等线" w:ascii="Arial" w:cs="Arial" w:hAnsi="Arial"/>
          <w:b w:val="true"/>
          <w:sz w:val="32"/>
        </w:rPr>
        <w:t xml:space="preserve"> Assistants</w:t>
      </w:r>
      <w:bookmarkEnd w:id="49"/>
    </w:p>
    <w:p>
      <w:pPr>
        <w:spacing w:before="120" w:after="120" w:line="288" w:lineRule="auto"/>
        <w:ind w:left="0"/>
        <w:jc w:val="left"/>
      </w:pPr>
      <w:r>
        <w:rPr>
          <w:rFonts w:eastAsia="等线" w:ascii="Arial" w:cs="Arial" w:hAnsi="Arial"/>
          <w:sz w:val="22"/>
        </w:rPr>
        <w:t xml:space="preserve">The platform provides dedicated </w:t>
      </w:r>
      <w:r>
        <w:rPr>
          <w:rFonts w:eastAsia="等线" w:ascii="Arial" w:cs="Arial" w:hAnsi="Arial"/>
          <w:b w:val="true"/>
          <w:sz w:val="22"/>
        </w:rPr>
        <w:t>AI-powered assistants</w:t>
      </w:r>
      <w:r>
        <w:rPr>
          <w:rFonts w:eastAsia="等线" w:ascii="Arial" w:cs="Arial" w:hAnsi="Arial"/>
          <w:sz w:val="22"/>
        </w:rPr>
        <w:t xml:space="preserve"> for different roles within the sales and fulfillment cycle. Each assistant is tailored to streamline daily operations, reduce manual effort, and ensure real-time synchronization with the central ERP system.</w:t>
      </w: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3.4.1 </w:t>
      </w:r>
      <w:r>
        <w:rPr>
          <w:rFonts w:eastAsia="等线" w:ascii="Arial" w:cs="Arial" w:hAnsi="Arial"/>
          <w:b w:val="true"/>
          <w:sz w:val="30"/>
        </w:rPr>
        <w:t>Sales Agent Assistant</w:t>
      </w:r>
      <w:bookmarkEnd w:id="50"/>
    </w:p>
    <w:p>
      <w:pPr>
        <w:spacing w:before="120" w:after="120" w:line="288" w:lineRule="auto"/>
        <w:ind w:left="0"/>
        <w:jc w:val="left"/>
      </w:pPr>
      <w:r>
        <w:rPr>
          <w:rFonts w:eastAsia="等线" w:ascii="Arial" w:cs="Arial" w:hAnsi="Arial"/>
          <w:sz w:val="22"/>
        </w:rPr>
        <w:t>The Sales Agent Assistant is designed to support field and inside sales teams by automating key sales tasks and providing a consolidated workspace.</w:t>
      </w:r>
    </w:p>
    <w:p>
      <w:pPr>
        <w:numPr>
          <w:numId w:val="178"/>
        </w:numPr>
        <w:spacing w:before="120" w:after="120" w:line="288" w:lineRule="auto"/>
        <w:ind w:left="0"/>
        <w:jc w:val="left"/>
      </w:pPr>
      <w:r>
        <w:rPr>
          <w:rFonts w:eastAsia="等线" w:ascii="Arial" w:cs="Arial" w:hAnsi="Arial"/>
          <w:b w:val="true"/>
          <w:sz w:val="22"/>
        </w:rPr>
        <w:t>Features</w:t>
      </w:r>
      <w:r>
        <w:rPr>
          <w:rFonts w:eastAsia="等线" w:ascii="Arial" w:cs="Arial" w:hAnsi="Arial"/>
          <w:sz w:val="22"/>
        </w:rPr>
        <w:t>:</w:t>
      </w:r>
    </w:p>
    <w:p>
      <w:pPr>
        <w:numPr>
          <w:numId w:val="179"/>
        </w:numPr>
        <w:spacing w:before="120" w:after="120" w:line="288" w:lineRule="auto"/>
        <w:ind w:left="453"/>
        <w:jc w:val="left"/>
      </w:pPr>
      <w:r>
        <w:rPr>
          <w:rFonts w:eastAsia="等线" w:ascii="Arial" w:cs="Arial" w:hAnsi="Arial"/>
          <w:sz w:val="22"/>
        </w:rPr>
        <w:t>Quotations,Sales Order, invoices, receipts creation.</w:t>
      </w:r>
    </w:p>
    <w:p>
      <w:pPr>
        <w:numPr>
          <w:numId w:val="180"/>
        </w:numPr>
        <w:spacing w:before="120" w:after="120" w:line="288" w:lineRule="auto"/>
        <w:ind w:left="453"/>
        <w:jc w:val="left"/>
      </w:pPr>
      <w:r>
        <w:rPr>
          <w:rFonts w:eastAsia="等线" w:ascii="Arial" w:cs="Arial" w:hAnsi="Arial"/>
          <w:sz w:val="22"/>
        </w:rPr>
        <w:t>Payment collection tracking (COD, transfer confirmation).</w:t>
      </w:r>
    </w:p>
    <w:p>
      <w:pPr>
        <w:numPr>
          <w:numId w:val="181"/>
        </w:numPr>
        <w:spacing w:before="120" w:after="120" w:line="288" w:lineRule="auto"/>
        <w:ind w:left="453"/>
        <w:jc w:val="left"/>
      </w:pPr>
      <w:r>
        <w:rPr>
          <w:rFonts w:eastAsia="等线" w:ascii="Arial" w:cs="Arial" w:hAnsi="Arial"/>
          <w:sz w:val="22"/>
        </w:rPr>
        <w:t>Sales dashboard (performance, pipeline, outstanding tasks).</w:t>
      </w:r>
    </w:p>
    <w:p>
      <w:pPr>
        <w:numPr>
          <w:numId w:val="182"/>
        </w:numPr>
        <w:spacing w:before="120" w:after="120" w:line="288" w:lineRule="auto"/>
        <w:ind w:left="453"/>
        <w:jc w:val="left"/>
      </w:pPr>
      <w:r>
        <w:rPr>
          <w:rFonts w:eastAsia="等线" w:ascii="Arial" w:cs="Arial" w:hAnsi="Arial"/>
          <w:sz w:val="22"/>
        </w:rPr>
        <w:t>Configurable reminders (e.g. payment follow-up, order status).</w:t>
      </w:r>
    </w:p>
    <w:p>
      <w:pPr>
        <w:numPr>
          <w:numId w:val="183"/>
        </w:numPr>
        <w:spacing w:before="120" w:after="120" w:line="288" w:lineRule="auto"/>
        <w:ind w:left="0"/>
        <w:jc w:val="left"/>
      </w:pPr>
      <w:r>
        <w:rPr>
          <w:rFonts w:eastAsia="等线" w:ascii="Arial" w:cs="Arial" w:hAnsi="Arial"/>
          <w:b w:val="true"/>
          <w:sz w:val="22"/>
        </w:rPr>
        <w:t>Outputs</w:t>
      </w:r>
      <w:r>
        <w:rPr>
          <w:rFonts w:eastAsia="等线" w:ascii="Arial" w:cs="Arial" w:hAnsi="Arial"/>
          <w:sz w:val="22"/>
        </w:rPr>
        <w:t>: Productivity workspace for field and inside sales teams.</w:t>
      </w: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3.4.2 </w:t>
      </w:r>
      <w:r>
        <w:rPr>
          <w:rFonts w:eastAsia="等线" w:ascii="Arial" w:cs="Arial" w:hAnsi="Arial"/>
          <w:b w:val="true"/>
          <w:sz w:val="30"/>
        </w:rPr>
        <w:t>Logistics Agent Assistant</w:t>
      </w:r>
      <w:bookmarkEnd w:id="51"/>
    </w:p>
    <w:p>
      <w:pPr>
        <w:spacing w:before="120" w:after="120" w:line="288" w:lineRule="auto"/>
        <w:ind w:left="0"/>
        <w:jc w:val="left"/>
      </w:pPr>
      <w:r>
        <w:rPr>
          <w:rFonts w:eastAsia="等线" w:ascii="Arial" w:cs="Arial" w:hAnsi="Arial"/>
          <w:sz w:val="22"/>
        </w:rPr>
        <w:t>The Logistics Agent Assistant optimizes delivery management by integrating route planning and real-time order status updates into a single operational workspace.</w:t>
      </w:r>
    </w:p>
    <w:p>
      <w:pPr>
        <w:numPr>
          <w:numId w:val="184"/>
        </w:numPr>
        <w:spacing w:before="120" w:after="120" w:line="288" w:lineRule="auto"/>
        <w:ind w:left="0"/>
        <w:jc w:val="left"/>
      </w:pPr>
      <w:r>
        <w:rPr>
          <w:rFonts w:eastAsia="等线" w:ascii="Arial" w:cs="Arial" w:hAnsi="Arial"/>
          <w:b w:val="true"/>
          <w:sz w:val="22"/>
        </w:rPr>
        <w:t>Features</w:t>
      </w:r>
      <w:r>
        <w:rPr>
          <w:rFonts w:eastAsia="等线" w:ascii="Arial" w:cs="Arial" w:hAnsi="Arial"/>
          <w:sz w:val="22"/>
        </w:rPr>
        <w:t>:</w:t>
      </w:r>
    </w:p>
    <w:p>
      <w:pPr>
        <w:numPr>
          <w:numId w:val="185"/>
        </w:numPr>
        <w:spacing w:before="120" w:after="120" w:line="288" w:lineRule="auto"/>
        <w:ind w:left="453"/>
        <w:jc w:val="left"/>
      </w:pPr>
      <w:r>
        <w:rPr>
          <w:rFonts w:eastAsia="等线" w:ascii="Arial" w:cs="Arial" w:hAnsi="Arial"/>
          <w:sz w:val="22"/>
        </w:rPr>
        <w:t>Logistic workspace for Delivery task assignment.</w:t>
      </w:r>
    </w:p>
    <w:p>
      <w:pPr>
        <w:numPr>
          <w:numId w:val="186"/>
        </w:numPr>
        <w:spacing w:before="120" w:after="120" w:line="288" w:lineRule="auto"/>
        <w:ind w:left="453"/>
        <w:jc w:val="left"/>
      </w:pPr>
      <w:r>
        <w:rPr>
          <w:rFonts w:eastAsia="等线" w:ascii="Arial" w:cs="Arial" w:hAnsi="Arial"/>
          <w:sz w:val="22"/>
        </w:rPr>
        <w:t>Route planning &amp; management</w:t>
      </w:r>
    </w:p>
    <w:p>
      <w:pPr>
        <w:numPr>
          <w:numId w:val="187"/>
        </w:numPr>
        <w:spacing w:before="120" w:after="120" w:line="288" w:lineRule="auto"/>
        <w:ind w:left="453"/>
        <w:jc w:val="left"/>
      </w:pPr>
      <w:r>
        <w:rPr>
          <w:rFonts w:eastAsia="等线" w:ascii="Arial" w:cs="Arial" w:hAnsi="Arial"/>
          <w:sz w:val="22"/>
        </w:rPr>
        <w:t>Status updates synced in real-time with fulfillment module.</w:t>
      </w:r>
    </w:p>
    <w:p>
      <w:pPr>
        <w:numPr>
          <w:numId w:val="188"/>
        </w:numPr>
        <w:spacing w:before="120" w:after="120" w:line="288" w:lineRule="auto"/>
        <w:ind w:left="453"/>
        <w:jc w:val="left"/>
      </w:pPr>
      <w:r>
        <w:rPr>
          <w:rFonts w:eastAsia="等线" w:ascii="Arial" w:cs="Arial" w:hAnsi="Arial"/>
          <w:b w:val="true"/>
          <w:sz w:val="22"/>
        </w:rPr>
        <w:t>Outputs</w:t>
      </w:r>
      <w:r>
        <w:rPr>
          <w:rFonts w:eastAsia="等线" w:ascii="Arial" w:cs="Arial" w:hAnsi="Arial"/>
          <w:sz w:val="22"/>
        </w:rPr>
        <w:t>: Productivity workspace for Operation Management</w:t>
      </w: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3.4.3 </w:t>
      </w:r>
      <w:r>
        <w:rPr>
          <w:rFonts w:eastAsia="等线" w:ascii="Arial" w:cs="Arial" w:hAnsi="Arial"/>
          <w:b w:val="true"/>
          <w:sz w:val="30"/>
        </w:rPr>
        <w:t>Driver Assistant</w:t>
      </w:r>
      <w:bookmarkEnd w:id="52"/>
    </w:p>
    <w:p>
      <w:pPr>
        <w:spacing w:before="120" w:after="120" w:line="288" w:lineRule="auto"/>
        <w:ind w:left="0"/>
        <w:jc w:val="left"/>
      </w:pPr>
      <w:r>
        <w:rPr>
          <w:rFonts w:eastAsia="等线" w:ascii="Arial" w:cs="Arial" w:hAnsi="Arial"/>
          <w:sz w:val="22"/>
        </w:rPr>
        <w:t>The Driver Assistant is designed to support delivery staff, focusing on delivery management and proof-of-delivery capture.</w:t>
      </w:r>
    </w:p>
    <w:p>
      <w:pPr>
        <w:numPr>
          <w:numId w:val="189"/>
        </w:numPr>
        <w:spacing w:before="120" w:after="120" w:line="288" w:lineRule="auto"/>
        <w:ind w:left="0"/>
        <w:jc w:val="left"/>
      </w:pPr>
      <w:r>
        <w:rPr>
          <w:rFonts w:eastAsia="等线" w:ascii="Arial" w:cs="Arial" w:hAnsi="Arial"/>
          <w:b w:val="true"/>
          <w:sz w:val="22"/>
        </w:rPr>
        <w:t>Features</w:t>
      </w:r>
      <w:r>
        <w:rPr>
          <w:rFonts w:eastAsia="等线" w:ascii="Arial" w:cs="Arial" w:hAnsi="Arial"/>
          <w:sz w:val="22"/>
        </w:rPr>
        <w:t>:</w:t>
      </w:r>
    </w:p>
    <w:p>
      <w:pPr>
        <w:numPr>
          <w:numId w:val="190"/>
        </w:numPr>
        <w:spacing w:before="120" w:after="120" w:line="288" w:lineRule="auto"/>
        <w:ind w:left="453"/>
        <w:jc w:val="left"/>
      </w:pPr>
      <w:r>
        <w:rPr>
          <w:rFonts w:eastAsia="等线" w:ascii="Arial" w:cs="Arial" w:hAnsi="Arial"/>
          <w:sz w:val="22"/>
        </w:rPr>
        <w:t>Driver workspace for delivery management.</w:t>
      </w:r>
    </w:p>
    <w:p>
      <w:pPr>
        <w:numPr>
          <w:numId w:val="191"/>
        </w:numPr>
        <w:spacing w:before="120" w:after="120" w:line="288" w:lineRule="auto"/>
        <w:ind w:left="453"/>
        <w:jc w:val="left"/>
      </w:pPr>
      <w:r>
        <w:rPr>
          <w:rFonts w:eastAsia="等线" w:ascii="Arial" w:cs="Arial" w:hAnsi="Arial"/>
          <w:sz w:val="22"/>
        </w:rPr>
        <w:t>proof-of-delivery uploads.</w:t>
      </w:r>
    </w:p>
    <w:p>
      <w:pPr>
        <w:numPr>
          <w:numId w:val="192"/>
        </w:numPr>
        <w:spacing w:before="120" w:after="120" w:line="288" w:lineRule="auto"/>
        <w:ind w:left="453"/>
        <w:jc w:val="left"/>
      </w:pPr>
      <w:r>
        <w:rPr>
          <w:rFonts w:eastAsia="等线" w:ascii="Arial" w:cs="Arial" w:hAnsi="Arial"/>
          <w:sz w:val="22"/>
        </w:rPr>
        <w:t>Status updates synced in real-time with fulfillment module.</w:t>
      </w:r>
    </w:p>
    <w:p>
      <w:pPr>
        <w:numPr>
          <w:numId w:val="193"/>
        </w:numPr>
        <w:spacing w:before="120" w:after="120" w:line="288" w:lineRule="auto"/>
        <w:ind w:left="0"/>
        <w:jc w:val="left"/>
      </w:pPr>
      <w:r>
        <w:rPr>
          <w:rFonts w:eastAsia="等线" w:ascii="Arial" w:cs="Arial" w:hAnsi="Arial"/>
          <w:b w:val="true"/>
          <w:sz w:val="22"/>
        </w:rPr>
        <w:t>Outputs</w:t>
      </w:r>
      <w:r>
        <w:rPr>
          <w:rFonts w:eastAsia="等线" w:ascii="Arial" w:cs="Arial" w:hAnsi="Arial"/>
          <w:sz w:val="22"/>
        </w:rPr>
        <w:t>: Driver-level task lists and proof-of-delivery repository.</w:t>
      </w: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3.5 </w:t>
      </w:r>
      <w:r>
        <w:rPr>
          <w:rFonts w:eastAsia="等线" w:ascii="Arial" w:cs="Arial" w:hAnsi="Arial"/>
          <w:b w:val="true"/>
          <w:sz w:val="32"/>
        </w:rPr>
        <w:t>Document Generation &amp; Exports</w:t>
      </w:r>
      <w:bookmarkEnd w:id="53"/>
    </w:p>
    <w:p>
      <w:pPr>
        <w:spacing w:before="120" w:after="120" w:line="288" w:lineRule="auto"/>
        <w:ind w:left="0"/>
        <w:jc w:val="left"/>
      </w:pPr>
      <w:r>
        <w:rPr>
          <w:rFonts w:eastAsia="等线" w:ascii="Arial" w:cs="Arial" w:hAnsi="Arial"/>
          <w:sz w:val="22"/>
        </w:rPr>
        <w:t xml:space="preserve">The system supports comprehensive </w:t>
      </w:r>
      <w:r>
        <w:rPr>
          <w:rFonts w:eastAsia="等线" w:ascii="Arial" w:cs="Arial" w:hAnsi="Arial"/>
          <w:b w:val="true"/>
          <w:sz w:val="22"/>
        </w:rPr>
        <w:t>document generation and export capabilities</w:t>
      </w:r>
      <w:r>
        <w:rPr>
          <w:rFonts w:eastAsia="等线" w:ascii="Arial" w:cs="Arial" w:hAnsi="Arial"/>
          <w:sz w:val="22"/>
        </w:rPr>
        <w:t xml:space="preserve"> to streamline operational, financial, and logistics workflows. Each document is automatically generated based on user actions within the ERP or chatbot interface, ensuring consistency, accuracy, and compliance.</w:t>
      </w:r>
    </w:p>
    <w:p>
      <w:pPr>
        <w:spacing w:before="120" w:after="120" w:line="288" w:lineRule="auto"/>
        <w:ind w:left="0"/>
        <w:jc w:val="left"/>
      </w:pPr>
      <w:r>
        <w:rPr>
          <w:rFonts w:eastAsia="等线" w:ascii="Arial" w:cs="Arial" w:hAnsi="Arial"/>
          <w:b w:val="true"/>
          <w:sz w:val="22"/>
        </w:rPr>
        <w:t>Supported Document Types</w:t>
      </w:r>
    </w:p>
    <w:p>
      <w:pPr>
        <w:pStyle w:val="3"/>
        <w:spacing w:before="300" w:after="120" w:line="288" w:lineRule="auto"/>
        <w:ind w:left="0"/>
        <w:jc w:val="left"/>
        <w:outlineLvl w:val="2"/>
      </w:pPr>
      <w:bookmarkStart w:name="heading_54" w:id="54"/>
      <w:r>
        <w:rPr>
          <w:rFonts w:eastAsia="等线" w:ascii="Arial" w:cs="Arial" w:hAnsi="Arial"/>
          <w:b w:val="true"/>
          <w:sz w:val="30"/>
        </w:rPr>
        <w:t xml:space="preserve">Sales </w:t>
      </w:r>
      <w:bookmarkEnd w:id="54"/>
    </w:p>
    <w:p>
      <w:pPr>
        <w:numPr>
          <w:numId w:val="194"/>
        </w:numPr>
        <w:spacing w:before="120" w:after="120" w:line="288" w:lineRule="auto"/>
        <w:ind w:left="0"/>
        <w:jc w:val="left"/>
      </w:pPr>
      <w:r>
        <w:rPr>
          <w:rFonts w:eastAsia="等线" w:ascii="Arial" w:cs="Arial" w:hAnsi="Arial"/>
          <w:b w:val="true"/>
          <w:sz w:val="22"/>
        </w:rPr>
        <w:t>Quotation:</w:t>
      </w:r>
      <w:r>
        <w:rPr>
          <w:rFonts w:eastAsia="等线" w:ascii="Arial" w:cs="Arial" w:hAnsi="Arial"/>
          <w:sz w:val="22"/>
        </w:rPr>
        <w:t xml:space="preserve"> Generated during the order capture stage, providing customers with pricing and terms before confirmation.</w:t>
      </w:r>
    </w:p>
    <w:p>
      <w:pPr>
        <w:numPr>
          <w:numId w:val="195"/>
        </w:numPr>
        <w:spacing w:before="120" w:after="120" w:line="288" w:lineRule="auto"/>
        <w:ind w:left="0"/>
        <w:jc w:val="left"/>
      </w:pPr>
      <w:r>
        <w:rPr>
          <w:rFonts w:eastAsia="等线" w:ascii="Arial" w:cs="Arial" w:hAnsi="Arial"/>
          <w:b w:val="true"/>
          <w:sz w:val="22"/>
        </w:rPr>
        <w:t>Sales Order:</w:t>
      </w:r>
      <w:r>
        <w:rPr>
          <w:rFonts w:eastAsia="等线" w:ascii="Arial" w:cs="Arial" w:hAnsi="Arial"/>
          <w:sz w:val="22"/>
        </w:rPr>
        <w:t xml:space="preserve"> Created once a quotation is accepted or a direct order is placed, serving as the official customer order record.</w:t>
      </w:r>
    </w:p>
    <w:p>
      <w:pPr>
        <w:numPr>
          <w:numId w:val="196"/>
        </w:numPr>
        <w:spacing w:before="120" w:after="120" w:line="288" w:lineRule="auto"/>
        <w:ind w:left="0"/>
        <w:jc w:val="left"/>
      </w:pPr>
      <w:r>
        <w:rPr>
          <w:rFonts w:eastAsia="等线" w:ascii="Arial" w:cs="Arial" w:hAnsi="Arial"/>
          <w:b w:val="true"/>
          <w:sz w:val="22"/>
        </w:rPr>
        <w:t>Invoice:</w:t>
      </w:r>
      <w:r>
        <w:rPr>
          <w:rFonts w:eastAsia="等线" w:ascii="Arial" w:cs="Arial" w:hAnsi="Arial"/>
          <w:sz w:val="22"/>
        </w:rPr>
        <w:t xml:space="preserve"> Issued after order confirmation, reflecting final amounts, taxes, discounts, and payment terms.</w:t>
      </w:r>
    </w:p>
    <w:p>
      <w:pPr>
        <w:numPr>
          <w:numId w:val="197"/>
        </w:numPr>
        <w:spacing w:before="120" w:after="120" w:line="288" w:lineRule="auto"/>
        <w:ind w:left="0"/>
        <w:jc w:val="left"/>
      </w:pPr>
      <w:r>
        <w:rPr>
          <w:rFonts w:eastAsia="等线" w:ascii="Arial" w:cs="Arial" w:hAnsi="Arial"/>
          <w:b w:val="true"/>
          <w:sz w:val="22"/>
        </w:rPr>
        <w:t>Credit Note:</w:t>
      </w:r>
      <w:r>
        <w:rPr>
          <w:rFonts w:eastAsia="等线" w:ascii="Arial" w:cs="Arial" w:hAnsi="Arial"/>
          <w:sz w:val="22"/>
        </w:rPr>
        <w:t xml:space="preserve"> Produced in cases of returns, adjustments, or discounts, ensuring accurate financial reconciliation.</w:t>
      </w:r>
    </w:p>
    <w:p>
      <w:pPr>
        <w:numPr>
          <w:numId w:val="198"/>
        </w:numPr>
        <w:spacing w:before="120" w:after="120" w:line="288" w:lineRule="auto"/>
        <w:ind w:left="0"/>
        <w:jc w:val="left"/>
      </w:pPr>
      <w:r>
        <w:rPr>
          <w:rFonts w:eastAsia="等线" w:ascii="Arial" w:cs="Arial" w:hAnsi="Arial"/>
          <w:b w:val="true"/>
          <w:sz w:val="22"/>
        </w:rPr>
        <w:t>Receipt:</w:t>
      </w:r>
      <w:r>
        <w:rPr>
          <w:rFonts w:eastAsia="等线" w:ascii="Arial" w:cs="Arial" w:hAnsi="Arial"/>
          <w:sz w:val="22"/>
        </w:rPr>
        <w:t xml:space="preserve"> Provided once payment is confirmed, serving as official proof of payment.</w:t>
      </w:r>
    </w:p>
    <w:p>
      <w:pPr>
        <w:numPr>
          <w:numId w:val="199"/>
        </w:numPr>
        <w:spacing w:before="120" w:after="120" w:line="288" w:lineRule="auto"/>
        <w:ind w:left="0"/>
        <w:jc w:val="left"/>
      </w:pPr>
      <w:r>
        <w:rPr>
          <w:rFonts w:eastAsia="等线" w:ascii="Arial" w:cs="Arial" w:hAnsi="Arial"/>
          <w:b w:val="true"/>
          <w:sz w:val="22"/>
        </w:rPr>
        <w:t>Payment Voucher:</w:t>
      </w:r>
      <w:r>
        <w:rPr>
          <w:rFonts w:eastAsia="等线" w:ascii="Arial" w:cs="Arial" w:hAnsi="Arial"/>
          <w:sz w:val="22"/>
        </w:rPr>
        <w:t xml:space="preserve"> Used to document outgoing payments, particularly supplier or operational disbursements.</w:t>
      </w:r>
    </w:p>
    <w:p>
      <w:pPr>
        <w:pStyle w:val="3"/>
        <w:spacing w:before="300" w:after="120" w:line="288" w:lineRule="auto"/>
        <w:ind w:left="0"/>
        <w:jc w:val="left"/>
        <w:outlineLvl w:val="2"/>
      </w:pPr>
      <w:bookmarkStart w:name="heading_55" w:id="55"/>
      <w:r>
        <w:rPr>
          <w:rFonts w:eastAsia="等线" w:ascii="Arial" w:cs="Arial" w:hAnsi="Arial"/>
          <w:b w:val="true"/>
          <w:sz w:val="30"/>
        </w:rPr>
        <w:t xml:space="preserve">Logistics </w:t>
      </w:r>
      <w:bookmarkEnd w:id="55"/>
    </w:p>
    <w:p>
      <w:pPr>
        <w:numPr>
          <w:numId w:val="200"/>
        </w:numPr>
        <w:spacing w:before="120" w:after="120" w:line="288" w:lineRule="auto"/>
        <w:ind w:left="0"/>
        <w:jc w:val="left"/>
      </w:pPr>
      <w:r>
        <w:rPr>
          <w:rFonts w:eastAsia="等线" w:ascii="Arial" w:cs="Arial" w:hAnsi="Arial"/>
          <w:b w:val="true"/>
          <w:sz w:val="22"/>
        </w:rPr>
        <w:t>Delivery Note :</w:t>
      </w:r>
      <w:r>
        <w:rPr>
          <w:rFonts w:eastAsia="等线" w:ascii="Arial" w:cs="Arial" w:hAnsi="Arial"/>
          <w:sz w:val="22"/>
        </w:rPr>
        <w:t xml:space="preserve"> Generated for logistics, detailing items to be delivered, quantities, and delivery instructions.</w:t>
      </w:r>
    </w:p>
    <w:p>
      <w:pPr>
        <w:numPr>
          <w:numId w:val="201"/>
        </w:numPr>
        <w:spacing w:before="120" w:after="120" w:line="288" w:lineRule="auto"/>
        <w:ind w:left="0"/>
        <w:jc w:val="left"/>
      </w:pPr>
      <w:r>
        <w:rPr>
          <w:rFonts w:eastAsia="等线" w:ascii="Arial" w:cs="Arial" w:hAnsi="Arial"/>
          <w:b w:val="true"/>
          <w:sz w:val="22"/>
        </w:rPr>
        <w:t>Picking List:</w:t>
      </w:r>
      <w:r>
        <w:rPr>
          <w:rFonts w:eastAsia="等线" w:ascii="Arial" w:cs="Arial" w:hAnsi="Arial"/>
          <w:sz w:val="22"/>
        </w:rPr>
        <w:t xml:space="preserve"> Shared with warehouse teams to guide item selection and packing processes.</w:t>
      </w:r>
    </w:p>
    <w:p>
      <w:pPr>
        <w:numPr>
          <w:numId w:val="202"/>
        </w:numPr>
        <w:spacing w:before="120" w:after="120" w:line="288" w:lineRule="auto"/>
        <w:ind w:left="0"/>
        <w:jc w:val="left"/>
      </w:pPr>
      <w:r>
        <w:rPr>
          <w:rFonts w:eastAsia="等线" w:ascii="Arial" w:cs="Arial" w:hAnsi="Arial"/>
          <w:b w:val="true"/>
          <w:sz w:val="22"/>
        </w:rPr>
        <w:t>Delivery Checklist:</w:t>
      </w:r>
      <w:r>
        <w:rPr>
          <w:rFonts w:eastAsia="等线" w:ascii="Arial" w:cs="Arial" w:hAnsi="Arial"/>
          <w:sz w:val="22"/>
        </w:rPr>
        <w:t xml:space="preserve"> Provided to drivers to verify that all items in an order are packed and delivered correctly. This serves as a final validation tool, ensuring completeness and reducing the risk of errors during dispatch.</w:t>
      </w:r>
    </w:p>
    <w:p>
      <w:pPr>
        <w:pStyle w:val="3"/>
        <w:spacing w:before="300" w:after="120" w:line="288" w:lineRule="auto"/>
        <w:ind w:left="0"/>
        <w:jc w:val="left"/>
        <w:outlineLvl w:val="2"/>
      </w:pPr>
      <w:bookmarkStart w:name="heading_56" w:id="56"/>
      <w:r>
        <w:rPr>
          <w:rFonts w:eastAsia="等线" w:ascii="Arial" w:cs="Arial" w:hAnsi="Arial"/>
          <w:b w:val="true"/>
          <w:sz w:val="30"/>
        </w:rPr>
        <w:t>Document Customization</w:t>
      </w:r>
      <w:bookmarkEnd w:id="56"/>
    </w:p>
    <w:p>
      <w:pPr>
        <w:spacing w:before="120" w:after="120" w:line="288" w:lineRule="auto"/>
        <w:ind w:left="0"/>
        <w:jc w:val="left"/>
      </w:pPr>
      <w:r>
        <w:rPr>
          <w:rFonts w:eastAsia="等线" w:ascii="Arial" w:cs="Arial" w:hAnsi="Arial"/>
          <w:sz w:val="22"/>
        </w:rPr>
        <w:t>All system-generated documents can be customized to align with company standards and branding guidelines. This flexibility ensures professional presentation while meeting compliance requirements.</w:t>
      </w:r>
    </w:p>
    <w:p>
      <w:pPr>
        <w:numPr>
          <w:numId w:val="203"/>
        </w:numPr>
        <w:spacing w:before="120" w:after="120" w:line="288" w:lineRule="auto"/>
        <w:ind w:left="0"/>
        <w:jc w:val="left"/>
      </w:pPr>
      <w:r>
        <w:rPr>
          <w:rFonts w:eastAsia="等线" w:ascii="Arial" w:cs="Arial" w:hAnsi="Arial"/>
          <w:b w:val="true"/>
          <w:sz w:val="22"/>
        </w:rPr>
        <w:t>Layout</w:t>
      </w:r>
      <w:r>
        <w:rPr>
          <w:rFonts w:eastAsia="等线" w:ascii="Arial" w:cs="Arial" w:hAnsi="Arial"/>
          <w:sz w:val="22"/>
        </w:rPr>
        <w:t>: Configurable structure for headers, footers, tables, and sections to match organizational needs.</w:t>
      </w:r>
    </w:p>
    <w:p>
      <w:pPr>
        <w:numPr>
          <w:numId w:val="204"/>
        </w:numPr>
        <w:spacing w:before="120" w:after="120" w:line="288" w:lineRule="auto"/>
        <w:ind w:left="0"/>
        <w:jc w:val="left"/>
      </w:pPr>
      <w:r>
        <w:rPr>
          <w:rFonts w:eastAsia="等线" w:ascii="Arial" w:cs="Arial" w:hAnsi="Arial"/>
          <w:b w:val="true"/>
          <w:sz w:val="22"/>
        </w:rPr>
        <w:t>Document Naming</w:t>
      </w:r>
      <w:r>
        <w:rPr>
          <w:rFonts w:eastAsia="等线" w:ascii="Arial" w:cs="Arial" w:hAnsi="Arial"/>
          <w:sz w:val="22"/>
        </w:rPr>
        <w:t>: Custom naming conventions (e.g., prefixes, outlet codes, timestamps) for easier tracking and archiving.</w:t>
      </w:r>
    </w:p>
    <w:p>
      <w:pPr>
        <w:numPr>
          <w:numId w:val="205"/>
        </w:numPr>
        <w:spacing w:before="120" w:after="120" w:line="288" w:lineRule="auto"/>
        <w:ind w:left="0"/>
        <w:jc w:val="left"/>
      </w:pPr>
      <w:r>
        <w:rPr>
          <w:rFonts w:eastAsia="等线" w:ascii="Arial" w:cs="Arial" w:hAnsi="Arial"/>
          <w:b w:val="true"/>
          <w:sz w:val="22"/>
        </w:rPr>
        <w:t>Visual Identity</w:t>
      </w:r>
      <w:r>
        <w:rPr>
          <w:rFonts w:eastAsia="等线" w:ascii="Arial" w:cs="Arial" w:hAnsi="Arial"/>
          <w:sz w:val="22"/>
        </w:rPr>
        <w:t>: Branding options such as custom colors, fonts, and company logos applied consistently across all document types.</w:t>
      </w:r>
    </w:p>
    <w:p>
      <w:pPr>
        <w:numPr>
          <w:numId w:val="206"/>
        </w:numPr>
        <w:spacing w:before="120" w:after="120" w:line="288" w:lineRule="auto"/>
        <w:ind w:left="0"/>
        <w:jc w:val="left"/>
      </w:pPr>
      <w:r>
        <w:rPr>
          <w:rFonts w:eastAsia="等线" w:ascii="Arial" w:cs="Arial" w:hAnsi="Arial"/>
          <w:b w:val="true"/>
          <w:sz w:val="22"/>
        </w:rPr>
        <w:t>Company Information</w:t>
      </w:r>
      <w:r>
        <w:rPr>
          <w:rFonts w:eastAsia="等线" w:ascii="Arial" w:cs="Arial" w:hAnsi="Arial"/>
          <w:sz w:val="22"/>
        </w:rPr>
        <w:t>: Mandatory details embedded in all documents, including:</w:t>
      </w:r>
    </w:p>
    <w:p>
      <w:pPr>
        <w:numPr>
          <w:numId w:val="207"/>
        </w:numPr>
        <w:spacing w:before="120" w:after="120" w:line="288" w:lineRule="auto"/>
        <w:ind w:left="453"/>
        <w:jc w:val="left"/>
      </w:pPr>
      <w:r>
        <w:rPr>
          <w:rFonts w:eastAsia="等线" w:ascii="Arial" w:cs="Arial" w:hAnsi="Arial"/>
          <w:sz w:val="22"/>
        </w:rPr>
        <w:t>Registered Company Name and Address</w:t>
      </w:r>
    </w:p>
    <w:p>
      <w:pPr>
        <w:numPr>
          <w:numId w:val="208"/>
        </w:numPr>
        <w:spacing w:before="120" w:after="120" w:line="288" w:lineRule="auto"/>
        <w:ind w:left="453"/>
        <w:jc w:val="left"/>
      </w:pPr>
      <w:r>
        <w:rPr>
          <w:rFonts w:eastAsia="等线" w:ascii="Arial" w:cs="Arial" w:hAnsi="Arial"/>
          <w:sz w:val="22"/>
        </w:rPr>
        <w:t>SSM Registration Number and Tax Identification Number</w:t>
      </w:r>
    </w:p>
    <w:p>
      <w:pPr>
        <w:numPr>
          <w:numId w:val="209"/>
        </w:numPr>
        <w:spacing w:before="120" w:after="120" w:line="288" w:lineRule="auto"/>
        <w:ind w:left="453"/>
        <w:jc w:val="left"/>
      </w:pPr>
      <w:r>
        <w:rPr>
          <w:rFonts w:eastAsia="等线" w:ascii="Arial" w:cs="Arial" w:hAnsi="Arial"/>
          <w:sz w:val="22"/>
        </w:rPr>
        <w:t>Contact Information (Phone, Email, Website)</w:t>
      </w:r>
    </w:p>
    <w:p>
      <w:pPr>
        <w:numPr>
          <w:numId w:val="210"/>
        </w:numPr>
        <w:spacing w:before="120" w:after="120" w:line="288" w:lineRule="auto"/>
        <w:ind w:left="0"/>
        <w:jc w:val="left"/>
      </w:pPr>
      <w:r>
        <w:rPr>
          <w:rFonts w:eastAsia="等线" w:ascii="Arial" w:cs="Arial" w:hAnsi="Arial"/>
          <w:b w:val="true"/>
          <w:sz w:val="22"/>
        </w:rPr>
        <w:t>Compliance-Ready</w:t>
      </w:r>
      <w:r>
        <w:rPr>
          <w:rFonts w:eastAsia="等线" w:ascii="Arial" w:cs="Arial" w:hAnsi="Arial"/>
          <w:sz w:val="22"/>
        </w:rPr>
        <w:t>: Ensures all generated documents adhere to legal, tax, and audit standards relevant to the business and regulatory authorities.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 on Document Naming Conventions</w:t>
            </w:r>
            <w:r>
              <w:rPr>
                <w:rFonts w:eastAsia="等线" w:ascii="Arial" w:cs="Arial" w:hAnsi="Arial"/>
                <w:color w:val="646a73"/>
                <w:sz w:val="22"/>
              </w:rPr>
              <w:br/>
            </w:r>
            <w:r>
              <w:rPr>
                <w:rFonts w:eastAsia="等线" w:ascii="Arial" w:cs="Arial" w:hAnsi="Arial"/>
                <w:color w:val="646a73"/>
                <w:sz w:val="22"/>
              </w:rPr>
              <w:t xml:space="preserve"> In practice, the same type of document may be referred to by different names depending on the company, industry, or regional standards. MAIA supports flexible document naming to align with client terminology and ensure smooth adoption across teams.</w:t>
            </w:r>
          </w:p>
        </w:tc>
      </w:tr>
    </w:tbl>
    <w:p>
      <w:pPr>
        <w:pStyle w:val="2"/>
        <w:spacing w:before="320" w:after="120" w:line="288" w:lineRule="auto"/>
        <w:ind w:left="0"/>
        <w:jc w:val="left"/>
        <w:outlineLvl w:val="1"/>
      </w:pPr>
      <w:bookmarkStart w:name="heading_57" w:id="57"/>
      <w:r>
        <w:rPr>
          <w:rFonts w:eastAsia="等线" w:ascii="Arial" w:cs="Arial" w:hAnsi="Arial"/>
          <w:color w:val="3370ff"/>
          <w:sz w:val="32"/>
        </w:rPr>
        <w:t xml:space="preserve">3.6 </w:t>
      </w:r>
      <w:r>
        <w:rPr>
          <w:rFonts w:eastAsia="等线" w:ascii="Arial" w:cs="Arial" w:hAnsi="Arial"/>
          <w:b w:val="true"/>
          <w:sz w:val="32"/>
        </w:rPr>
        <w:t>Omnichannel Chat</w:t>
      </w:r>
      <w:bookmarkEnd w:id="57"/>
    </w:p>
    <w:p>
      <w:pPr>
        <w:spacing w:before="120" w:after="120" w:line="288" w:lineRule="auto"/>
        <w:ind w:left="0"/>
        <w:jc w:val="left"/>
      </w:pPr>
      <w:r>
        <w:rPr>
          <w:rFonts w:eastAsia="等线" w:ascii="Arial" w:cs="Arial" w:hAnsi="Arial"/>
          <w:sz w:val="22"/>
        </w:rPr>
        <w:t xml:space="preserve">The platform supports a robust </w:t>
      </w:r>
      <w:r>
        <w:rPr>
          <w:rFonts w:eastAsia="等线" w:ascii="Arial" w:cs="Arial" w:hAnsi="Arial"/>
          <w:b w:val="true"/>
          <w:sz w:val="22"/>
        </w:rPr>
        <w:t>omnichannel communication module</w:t>
      </w:r>
      <w:r>
        <w:rPr>
          <w:rFonts w:eastAsia="等线" w:ascii="Arial" w:cs="Arial" w:hAnsi="Arial"/>
          <w:sz w:val="22"/>
        </w:rPr>
        <w:t>, enabling users to interact with MAIA seamlessly across multiple digital channels. This ensures consistent engagement, faster responses, and unified tracking of conversations, regardless of where users reach out.</w:t>
      </w:r>
    </w:p>
    <w:p>
      <w:pPr>
        <w:spacing w:before="120" w:after="120" w:line="288" w:lineRule="auto"/>
        <w:ind w:left="0"/>
        <w:jc w:val="left"/>
      </w:pPr>
      <w:r>
        <w:rPr>
          <w:rFonts w:eastAsia="等线" w:ascii="Arial" w:cs="Arial" w:hAnsi="Arial"/>
          <w:b w:val="true"/>
          <w:sz w:val="22"/>
        </w:rPr>
        <w:t xml:space="preserve">Supported Channels </w:t>
      </w:r>
    </w:p>
    <w:p>
      <w:pPr>
        <w:numPr>
          <w:numId w:val="211"/>
        </w:numPr>
        <w:spacing w:before="120" w:after="120" w:line="288" w:lineRule="auto"/>
        <w:ind w:left="0"/>
        <w:jc w:val="left"/>
      </w:pPr>
      <w:r>
        <w:rPr>
          <w:rFonts w:eastAsia="等线" w:ascii="Arial" w:cs="Arial" w:hAnsi="Arial"/>
          <w:b w:val="true"/>
          <w:sz w:val="22"/>
        </w:rPr>
        <w:t>WhatsApp</w:t>
      </w:r>
    </w:p>
    <w:p>
      <w:pPr>
        <w:numPr>
          <w:numId w:val="212"/>
        </w:numPr>
        <w:spacing w:before="120" w:after="120" w:line="288" w:lineRule="auto"/>
        <w:ind w:left="0"/>
        <w:jc w:val="left"/>
      </w:pPr>
      <w:r>
        <w:rPr>
          <w:rFonts w:eastAsia="等线" w:ascii="Arial" w:cs="Arial" w:hAnsi="Arial"/>
          <w:b w:val="true"/>
          <w:sz w:val="22"/>
        </w:rPr>
        <w:t>Email</w:t>
      </w:r>
    </w:p>
    <w:p>
      <w:pPr>
        <w:numPr>
          <w:numId w:val="213"/>
        </w:numPr>
        <w:spacing w:before="120" w:after="120" w:line="288" w:lineRule="auto"/>
        <w:ind w:left="0"/>
        <w:jc w:val="left"/>
      </w:pPr>
      <w:r>
        <w:rPr>
          <w:rFonts w:eastAsia="等线" w:ascii="Arial" w:cs="Arial" w:hAnsi="Arial"/>
          <w:b w:val="true"/>
          <w:sz w:val="22"/>
        </w:rPr>
        <w:t>Shopee</w:t>
      </w:r>
    </w:p>
    <w:p>
      <w:pPr>
        <w:numPr>
          <w:numId w:val="214"/>
        </w:numPr>
        <w:spacing w:before="120" w:after="120" w:line="288" w:lineRule="auto"/>
        <w:ind w:left="0"/>
        <w:jc w:val="left"/>
      </w:pPr>
      <w:r>
        <w:rPr>
          <w:rFonts w:eastAsia="等线" w:ascii="Arial" w:cs="Arial" w:hAnsi="Arial"/>
          <w:b w:val="true"/>
          <w:sz w:val="22"/>
        </w:rPr>
        <w:t>Telegram</w:t>
      </w:r>
    </w:p>
    <w:p>
      <w:pPr>
        <w:numPr>
          <w:numId w:val="215"/>
        </w:numPr>
        <w:spacing w:before="120" w:after="120" w:line="288" w:lineRule="auto"/>
        <w:ind w:left="0"/>
        <w:jc w:val="left"/>
      </w:pPr>
      <w:r>
        <w:rPr>
          <w:rFonts w:eastAsia="等线" w:ascii="Arial" w:cs="Arial" w:hAnsi="Arial"/>
          <w:b w:val="true"/>
          <w:sz w:val="22"/>
        </w:rPr>
        <w:t>Instagram</w:t>
      </w:r>
    </w:p>
    <w:p>
      <w:pPr>
        <w:numPr>
          <w:numId w:val="216"/>
        </w:numPr>
        <w:spacing w:before="120" w:after="120" w:line="288" w:lineRule="auto"/>
        <w:ind w:left="0"/>
        <w:jc w:val="left"/>
      </w:pPr>
      <w:r>
        <w:rPr>
          <w:rFonts w:eastAsia="等线" w:ascii="Arial" w:cs="Arial" w:hAnsi="Arial"/>
          <w:b w:val="true"/>
          <w:sz w:val="22"/>
        </w:rPr>
        <w:t>Messenger (Facebook)</w:t>
      </w:r>
    </w:p>
    <w:p>
      <w:pPr>
        <w:numPr>
          <w:numId w:val="217"/>
        </w:numPr>
        <w:spacing w:before="120" w:after="120" w:line="288" w:lineRule="auto"/>
        <w:ind w:left="0"/>
        <w:jc w:val="left"/>
      </w:pPr>
      <w:r>
        <w:rPr>
          <w:rFonts w:eastAsia="等线" w:ascii="Arial" w:cs="Arial" w:hAnsi="Arial"/>
          <w:b w:val="true"/>
          <w:sz w:val="22"/>
        </w:rPr>
        <w:t>Lazada</w:t>
      </w:r>
      <w:r>
        <w:rPr>
          <w:rFonts w:eastAsia="等线" w:ascii="Arial" w:cs="Arial" w:hAnsi="Arial"/>
          <w:sz w:val="22"/>
        </w:rPr>
        <w:t xml:space="preserve"> </w:t>
      </w:r>
    </w:p>
    <w:p>
      <w:pPr>
        <w:numPr>
          <w:numId w:val="218"/>
        </w:numPr>
        <w:spacing w:before="120" w:after="120" w:line="288" w:lineRule="auto"/>
        <w:ind w:left="0"/>
        <w:jc w:val="left"/>
      </w:pPr>
      <w:r>
        <w:rPr>
          <w:rFonts w:eastAsia="等线" w:ascii="Arial" w:cs="Arial" w:hAnsi="Arial"/>
          <w:b w:val="true"/>
          <w:sz w:val="22"/>
        </w:rPr>
        <w:t>TikTok</w:t>
      </w:r>
    </w:p>
    <w:p>
      <w:pPr>
        <w:pStyle w:val="2"/>
        <w:spacing w:before="320" w:after="120" w:line="288" w:lineRule="auto"/>
        <w:ind w:left="0"/>
        <w:jc w:val="left"/>
        <w:outlineLvl w:val="1"/>
      </w:pPr>
      <w:bookmarkStart w:name="heading_58" w:id="58"/>
      <w:r>
        <w:rPr>
          <w:rFonts w:eastAsia="等线" w:ascii="Arial" w:cs="Arial" w:hAnsi="Arial"/>
          <w:b w:val="true"/>
          <w:sz w:val="32"/>
        </w:rPr>
        <w:t>3.6 A</w:t>
      </w:r>
      <w:r>
        <w:rPr>
          <w:rFonts w:eastAsia="等线" w:ascii="Arial" w:cs="Arial" w:hAnsi="Arial"/>
          <w:b w:val="true"/>
          <w:sz w:val="32"/>
        </w:rPr>
        <w:t xml:space="preserve">ccount system intergration </w:t>
      </w:r>
      <w:bookmarkEnd w:id="58"/>
    </w:p>
    <w:p>
      <w:pPr>
        <w:spacing w:before="120" w:after="120" w:line="288" w:lineRule="auto"/>
        <w:ind w:left="0"/>
        <w:jc w:val="left"/>
      </w:pPr>
      <w:r>
        <w:rPr>
          <w:rFonts w:eastAsia="等线" w:ascii="Arial" w:cs="Arial" w:hAnsi="Arial"/>
          <w:sz w:val="22"/>
        </w:rPr>
        <w:t xml:space="preserve">MAIA provides seamless integration with third-party accounting systems, ensuring that all financial records are legally compliant and aligned with statutory requirements such as </w:t>
      </w:r>
      <w:r>
        <w:rPr>
          <w:rFonts w:eastAsia="等线" w:ascii="Arial" w:cs="Arial" w:hAnsi="Arial"/>
          <w:b w:val="true"/>
          <w:sz w:val="22"/>
        </w:rPr>
        <w:t>e-invoicing</w:t>
      </w:r>
      <w:r>
        <w:rPr>
          <w:rFonts w:eastAsia="等线" w:ascii="Arial" w:cs="Arial" w:hAnsi="Arial"/>
          <w:sz w:val="22"/>
        </w:rPr>
        <w:t>. These integrations reduce manual data entry, eliminate reconciliation errors, and ensure finance teams maintain a single source of truth across operational and accounting platforms.</w:t>
      </w:r>
    </w:p>
    <w:p>
      <w:pPr>
        <w:spacing w:before="120" w:after="120" w:line="288" w:lineRule="auto"/>
        <w:ind w:left="0"/>
        <w:jc w:val="left"/>
      </w:pPr>
      <w:r>
        <w:rPr>
          <w:rFonts w:eastAsia="等线" w:ascii="Arial" w:cs="Arial" w:hAnsi="Arial"/>
          <w:b w:val="true"/>
          <w:sz w:val="22"/>
        </w:rPr>
        <w:t>Supported Integrations</w:t>
      </w:r>
    </w:p>
    <w:p>
      <w:pPr>
        <w:numPr>
          <w:numId w:val="219"/>
        </w:numPr>
        <w:spacing w:before="120" w:after="120" w:line="288" w:lineRule="auto"/>
        <w:ind w:left="0"/>
        <w:jc w:val="left"/>
      </w:pPr>
      <w:r>
        <w:rPr>
          <w:rFonts w:eastAsia="等线" w:ascii="Arial" w:cs="Arial" w:hAnsi="Arial"/>
          <w:sz w:val="22"/>
        </w:rPr>
        <w:t>SQL Accounting</w:t>
      </w:r>
    </w:p>
    <w:p>
      <w:pPr>
        <w:numPr>
          <w:numId w:val="220"/>
        </w:numPr>
        <w:spacing w:before="120" w:after="120" w:line="288" w:lineRule="auto"/>
        <w:ind w:left="0"/>
        <w:jc w:val="left"/>
      </w:pPr>
      <w:r>
        <w:rPr>
          <w:rFonts w:eastAsia="等线" w:ascii="Arial" w:cs="Arial" w:hAnsi="Arial"/>
          <w:sz w:val="22"/>
        </w:rPr>
        <w:t>AutoCount Accounting</w:t>
      </w:r>
    </w:p>
    <w:p>
      <w:pPr>
        <w:numPr>
          <w:numId w:val="221"/>
        </w:numPr>
        <w:spacing w:before="120" w:after="120" w:line="288" w:lineRule="auto"/>
        <w:ind w:left="0"/>
        <w:jc w:val="left"/>
      </w:pPr>
      <w:r>
        <w:rPr>
          <w:rFonts w:eastAsia="等线" w:ascii="Arial" w:cs="Arial" w:hAnsi="Arial"/>
          <w:sz w:val="22"/>
        </w:rPr>
        <w:t>Other accounting platforms (upon request and subject to connector availability)</w:t>
      </w:r>
    </w:p>
    <w:p>
      <w:pPr>
        <w:spacing w:before="120" w:after="120" w:line="288" w:lineRule="auto"/>
        <w:ind w:left="0"/>
        <w:jc w:val="left"/>
      </w:pPr>
      <w:r>
        <w:rPr>
          <w:rFonts w:eastAsia="等线" w:ascii="Arial" w:cs="Arial" w:hAnsi="Arial"/>
          <w:b w:val="true"/>
          <w:sz w:val="22"/>
        </w:rPr>
        <w:t>Data Synchronization Scope</w:t>
      </w:r>
      <w:r>
        <w:rPr>
          <w:rFonts w:eastAsia="等线" w:ascii="Arial" w:cs="Arial" w:hAnsi="Arial"/>
          <w:sz w:val="22"/>
        </w:rPr>
        <w:br/>
      </w:r>
      <w:r>
        <w:rPr>
          <w:rFonts w:eastAsia="等线" w:ascii="Arial" w:cs="Arial" w:hAnsi="Arial"/>
          <w:sz w:val="22"/>
        </w:rPr>
        <w:t xml:space="preserve"> The following financial and master data objects are automatically pushed from MAIA into the connected accounting system:</w:t>
      </w:r>
    </w:p>
    <w:p>
      <w:pPr>
        <w:numPr>
          <w:numId w:val="222"/>
        </w:numPr>
        <w:spacing w:before="120" w:after="120" w:line="288" w:lineRule="auto"/>
        <w:ind w:left="0"/>
        <w:jc w:val="left"/>
      </w:pPr>
      <w:r>
        <w:rPr>
          <w:rFonts w:eastAsia="等线" w:ascii="Arial" w:cs="Arial" w:hAnsi="Arial"/>
          <w:b w:val="true"/>
          <w:sz w:val="22"/>
        </w:rPr>
        <w:t>Invoices</w:t>
      </w:r>
      <w:r>
        <w:rPr>
          <w:rFonts w:eastAsia="等线" w:ascii="Arial" w:cs="Arial" w:hAnsi="Arial"/>
          <w:sz w:val="22"/>
        </w:rPr>
        <w:t xml:space="preserve"> – Issued for completed sales orders, including tax and discount details.</w:t>
      </w:r>
    </w:p>
    <w:p>
      <w:pPr>
        <w:numPr>
          <w:numId w:val="223"/>
        </w:numPr>
        <w:spacing w:before="120" w:after="120" w:line="288" w:lineRule="auto"/>
        <w:ind w:left="0"/>
        <w:jc w:val="left"/>
      </w:pPr>
      <w:r>
        <w:rPr>
          <w:rFonts w:eastAsia="等线" w:ascii="Arial" w:cs="Arial" w:hAnsi="Arial"/>
          <w:b w:val="true"/>
          <w:sz w:val="22"/>
        </w:rPr>
        <w:t>Credit Notes</w:t>
      </w:r>
      <w:r>
        <w:rPr>
          <w:rFonts w:eastAsia="等线" w:ascii="Arial" w:cs="Arial" w:hAnsi="Arial"/>
          <w:sz w:val="22"/>
        </w:rPr>
        <w:t xml:space="preserve"> – Generated for returns, adjustments, or customer rebates.</w:t>
      </w:r>
    </w:p>
    <w:p>
      <w:pPr>
        <w:numPr>
          <w:numId w:val="224"/>
        </w:numPr>
        <w:spacing w:before="120" w:after="120" w:line="288" w:lineRule="auto"/>
        <w:ind w:left="0"/>
        <w:jc w:val="left"/>
      </w:pPr>
      <w:r>
        <w:rPr>
          <w:rFonts w:eastAsia="等线" w:ascii="Arial" w:cs="Arial" w:hAnsi="Arial"/>
          <w:b w:val="true"/>
          <w:sz w:val="22"/>
        </w:rPr>
        <w:t>Receipts</w:t>
      </w:r>
      <w:r>
        <w:rPr>
          <w:rFonts w:eastAsia="等线" w:ascii="Arial" w:cs="Arial" w:hAnsi="Arial"/>
          <w:sz w:val="22"/>
        </w:rPr>
        <w:t xml:space="preserve"> – Proof of incoming payments across all payment methods (e.g., FPX, e-wallets, bank transfers).</w:t>
      </w:r>
    </w:p>
    <w:p>
      <w:pPr>
        <w:numPr>
          <w:numId w:val="225"/>
        </w:numPr>
        <w:spacing w:before="120" w:after="120" w:line="288" w:lineRule="auto"/>
        <w:ind w:left="0"/>
        <w:jc w:val="left"/>
      </w:pPr>
      <w:r>
        <w:rPr>
          <w:rFonts w:eastAsia="等线" w:ascii="Arial" w:cs="Arial" w:hAnsi="Arial"/>
          <w:b w:val="true"/>
          <w:sz w:val="22"/>
        </w:rPr>
        <w:t>Payment Vouchers</w:t>
      </w:r>
      <w:r>
        <w:rPr>
          <w:rFonts w:eastAsia="等线" w:ascii="Arial" w:cs="Arial" w:hAnsi="Arial"/>
          <w:sz w:val="22"/>
        </w:rPr>
        <w:t xml:space="preserve"> – Outgoing payments for suppliers, operational expenses, or disbursements.</w:t>
      </w:r>
    </w:p>
    <w:p>
      <w:pPr>
        <w:numPr>
          <w:numId w:val="226"/>
        </w:numPr>
        <w:spacing w:before="120" w:after="120" w:line="288" w:lineRule="auto"/>
        <w:ind w:left="0"/>
        <w:jc w:val="left"/>
      </w:pPr>
      <w:r>
        <w:rPr>
          <w:rFonts w:eastAsia="等线" w:ascii="Arial" w:cs="Arial" w:hAnsi="Arial"/>
          <w:b w:val="true"/>
          <w:sz w:val="22"/>
        </w:rPr>
        <w:t>Debit Notes</w:t>
      </w:r>
      <w:r>
        <w:rPr>
          <w:rFonts w:eastAsia="等线" w:ascii="Arial" w:cs="Arial" w:hAnsi="Arial"/>
          <w:sz w:val="22"/>
        </w:rPr>
        <w:t xml:space="preserve"> – Issued where additional charges or corrections are required.</w:t>
      </w:r>
    </w:p>
    <w:p>
      <w:pPr>
        <w:numPr>
          <w:numId w:val="227"/>
        </w:numPr>
        <w:spacing w:before="120" w:after="120" w:line="288" w:lineRule="auto"/>
        <w:ind w:left="0"/>
        <w:jc w:val="left"/>
      </w:pPr>
      <w:r>
        <w:rPr>
          <w:rFonts w:eastAsia="等线" w:ascii="Arial" w:cs="Arial" w:hAnsi="Arial"/>
          <w:b w:val="true"/>
          <w:sz w:val="22"/>
        </w:rPr>
        <w:t>Customer Records</w:t>
      </w:r>
      <w:r>
        <w:rPr>
          <w:rFonts w:eastAsia="等线" w:ascii="Arial" w:cs="Arial" w:hAnsi="Arial"/>
          <w:sz w:val="22"/>
        </w:rPr>
        <w:t xml:space="preserve"> (optional) – Customer details synchronized to support debtor management and e-invoicing requirements.</w:t>
      </w:r>
    </w:p>
    <w:p>
      <w:pPr>
        <w:numPr>
          <w:numId w:val="228"/>
        </w:numPr>
        <w:spacing w:before="120" w:after="120" w:line="288" w:lineRule="auto"/>
        <w:ind w:left="0"/>
        <w:jc w:val="left"/>
      </w:pPr>
      <w:r>
        <w:rPr>
          <w:rFonts w:eastAsia="等线" w:ascii="Arial" w:cs="Arial" w:hAnsi="Arial"/>
          <w:b w:val="true"/>
          <w:sz w:val="22"/>
        </w:rPr>
        <w:t>Product Master Data</w:t>
      </w:r>
      <w:r>
        <w:rPr>
          <w:rFonts w:eastAsia="等线" w:ascii="Arial" w:cs="Arial" w:hAnsi="Arial"/>
          <w:sz w:val="22"/>
        </w:rPr>
        <w:t xml:space="preserve"> – Product catalog synchronization, including:</w:t>
      </w:r>
    </w:p>
    <w:p>
      <w:pPr>
        <w:numPr>
          <w:numId w:val="229"/>
        </w:numPr>
        <w:spacing w:before="120" w:after="120" w:line="288" w:lineRule="auto"/>
        <w:ind w:left="453"/>
        <w:jc w:val="left"/>
      </w:pPr>
      <w:r>
        <w:rPr>
          <w:rFonts w:eastAsia="等线" w:ascii="Arial" w:cs="Arial" w:hAnsi="Arial"/>
          <w:sz w:val="22"/>
        </w:rPr>
        <w:t>Product name and code</w:t>
      </w:r>
    </w:p>
    <w:p>
      <w:pPr>
        <w:numPr>
          <w:numId w:val="230"/>
        </w:numPr>
        <w:spacing w:before="120" w:after="120" w:line="288" w:lineRule="auto"/>
        <w:ind w:left="453"/>
        <w:jc w:val="left"/>
      </w:pPr>
      <w:r>
        <w:rPr>
          <w:rFonts w:eastAsia="等线" w:ascii="Arial" w:cs="Arial" w:hAnsi="Arial"/>
          <w:sz w:val="22"/>
        </w:rPr>
        <w:t>Product quantity updates (real-time or scheduled sync)</w:t>
      </w:r>
    </w:p>
    <w:p>
      <w:pPr>
        <w:spacing w:before="120" w:after="120" w:line="288" w:lineRule="auto"/>
        <w:ind w:left="0"/>
        <w:jc w:val="left"/>
      </w:pPr>
      <w:r>
        <w:rPr>
          <w:rFonts w:eastAsia="等线" w:ascii="Arial" w:cs="Arial" w:hAnsi="Arial"/>
          <w:b w:val="true"/>
          <w:sz w:val="22"/>
        </w:rPr>
        <w:t>Compliance &amp; Reporting</w:t>
      </w:r>
      <w:r>
        <w:rPr>
          <w:rFonts w:eastAsia="等线" w:ascii="Arial" w:cs="Arial" w:hAnsi="Arial"/>
          <w:sz w:val="22"/>
        </w:rPr>
        <w:br/>
      </w:r>
      <w:r>
        <w:rPr>
          <w:rFonts w:eastAsia="等线" w:ascii="Arial" w:cs="Arial" w:hAnsi="Arial"/>
          <w:sz w:val="22"/>
        </w:rPr>
        <w:t xml:space="preserve"> By integrating directly with accounting systems, MAIA ensures that all records generated within the operational workflow are automatically transferred for financial reporting, tax compliance, and statutory audits. This reduces delays in month-end closing and improves accuracy in financial reconciliation.</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9" w:id="59"/>
      <w:r>
        <w:rPr>
          <w:rFonts w:eastAsia="等线" w:ascii="Arial" w:cs="Arial" w:hAnsi="Arial"/>
          <w:color w:val="3370ff"/>
          <w:sz w:val="36"/>
        </w:rPr>
        <w:t xml:space="preserve">4. </w:t>
      </w:r>
      <w:r>
        <w:rPr>
          <w:rFonts w:eastAsia="等线" w:ascii="Arial" w:cs="Arial" w:hAnsi="Arial"/>
          <w:b w:val="true"/>
          <w:sz w:val="36"/>
        </w:rPr>
        <w:t>Service Level Agreements (SLAs)</w:t>
      </w:r>
      <w:bookmarkEnd w:id="59"/>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4.1 </w:t>
      </w:r>
      <w:r>
        <w:rPr>
          <w:rFonts w:eastAsia="等线" w:ascii="Arial" w:cs="Arial" w:hAnsi="Arial"/>
          <w:b w:val="true"/>
          <w:sz w:val="32"/>
        </w:rPr>
        <w:t>Mindhive Commitments</w:t>
      </w:r>
      <w:bookmarkEnd w:id="60"/>
    </w:p>
    <w:p>
      <w:pPr>
        <w:spacing w:before="120" w:after="120" w:line="288" w:lineRule="auto"/>
        <w:ind w:left="0"/>
        <w:jc w:val="left"/>
      </w:pPr>
      <w:r>
        <w:rPr>
          <w:rFonts w:eastAsia="等线" w:ascii="Arial" w:cs="Arial" w:hAnsi="Arial"/>
          <w:b w:val="true"/>
          <w:sz w:val="22"/>
        </w:rPr>
        <w:t>System Availability:</w:t>
      </w:r>
      <w:r>
        <w:rPr>
          <w:rFonts w:eastAsia="等线" w:ascii="Arial" w:cs="Arial" w:hAnsi="Arial"/>
          <w:sz w:val="22"/>
        </w:rPr>
        <w:t xml:space="preserve"> 99.5% uptime (excluding scheduled maintenance).</w:t>
      </w:r>
    </w:p>
    <w:p>
      <w:pPr>
        <w:spacing w:before="120" w:after="120" w:line="288" w:lineRule="auto"/>
        <w:ind w:left="0"/>
        <w:jc w:val="left"/>
      </w:pPr>
      <w:r>
        <w:rPr>
          <w:rFonts w:eastAsia="等线" w:ascii="Arial" w:cs="Arial" w:hAnsi="Arial"/>
          <w:b w:val="true"/>
          <w:sz w:val="22"/>
        </w:rPr>
        <w:t>Support Response Times:</w:t>
      </w:r>
    </w:p>
    <w:p>
      <w:pPr>
        <w:numPr>
          <w:numId w:val="231"/>
        </w:numPr>
        <w:spacing w:before="120" w:after="120" w:line="288" w:lineRule="auto"/>
        <w:ind w:left="0"/>
        <w:jc w:val="left"/>
      </w:pPr>
      <w:r>
        <w:rPr>
          <w:rFonts w:eastAsia="等线" w:ascii="Arial" w:cs="Arial" w:hAnsi="Arial"/>
          <w:b w:val="true"/>
          <w:sz w:val="22"/>
        </w:rPr>
        <w:t>Critical (P1):</w:t>
      </w:r>
      <w:r>
        <w:rPr>
          <w:rFonts w:eastAsia="等线" w:ascii="Arial" w:cs="Arial" w:hAnsi="Arial"/>
          <w:sz w:val="22"/>
        </w:rPr>
        <w:t xml:space="preserve"> Within 2 hours</w:t>
      </w:r>
    </w:p>
    <w:p>
      <w:pPr>
        <w:numPr>
          <w:numId w:val="232"/>
        </w:numPr>
        <w:spacing w:before="120" w:after="120" w:line="288" w:lineRule="auto"/>
        <w:ind w:left="0"/>
        <w:jc w:val="left"/>
      </w:pPr>
      <w:r>
        <w:rPr>
          <w:rFonts w:eastAsia="等线" w:ascii="Arial" w:cs="Arial" w:hAnsi="Arial"/>
          <w:b w:val="true"/>
          <w:sz w:val="22"/>
        </w:rPr>
        <w:t>High (P2):</w:t>
      </w:r>
      <w:r>
        <w:rPr>
          <w:rFonts w:eastAsia="等线" w:ascii="Arial" w:cs="Arial" w:hAnsi="Arial"/>
          <w:sz w:val="22"/>
        </w:rPr>
        <w:t xml:space="preserve"> Within 8 hours</w:t>
      </w:r>
    </w:p>
    <w:p>
      <w:pPr>
        <w:numPr>
          <w:numId w:val="233"/>
        </w:numPr>
        <w:spacing w:before="120" w:after="120" w:line="288" w:lineRule="auto"/>
        <w:ind w:left="0"/>
        <w:jc w:val="left"/>
      </w:pPr>
      <w:r>
        <w:rPr>
          <w:rFonts w:eastAsia="等线" w:ascii="Arial" w:cs="Arial" w:hAnsi="Arial"/>
          <w:b w:val="true"/>
          <w:sz w:val="22"/>
        </w:rPr>
        <w:t>Normal (P3):</w:t>
      </w:r>
      <w:r>
        <w:rPr>
          <w:rFonts w:eastAsia="等线" w:ascii="Arial" w:cs="Arial" w:hAnsi="Arial"/>
          <w:sz w:val="22"/>
        </w:rPr>
        <w:t xml:space="preserve"> Within 2 business days</w:t>
      </w:r>
    </w:p>
    <w:p>
      <w:pPr>
        <w:spacing w:before="120" w:after="120" w:line="288" w:lineRule="auto"/>
        <w:ind w:left="0"/>
        <w:jc w:val="left"/>
      </w:pPr>
      <w:r>
        <w:rPr>
          <w:rFonts w:eastAsia="等线" w:ascii="Arial" w:cs="Arial" w:hAnsi="Arial"/>
          <w:b w:val="true"/>
          <w:sz w:val="22"/>
        </w:rPr>
        <w:t>Maintenance Windows:</w:t>
      </w:r>
      <w:r>
        <w:rPr>
          <w:rFonts w:eastAsia="等线" w:ascii="Arial" w:cs="Arial" w:hAnsi="Arial"/>
          <w:sz w:val="22"/>
        </w:rPr>
        <w:t xml:space="preserve"> Pre-communicated, typically scheduled during weekends or off-peak hours.</w:t>
      </w:r>
    </w:p>
    <w:p>
      <w:pPr>
        <w:spacing w:before="120" w:after="120" w:line="288" w:lineRule="auto"/>
        <w:ind w:left="0"/>
        <w:jc w:val="left"/>
      </w:pPr>
      <w:r>
        <w:rPr>
          <w:rFonts w:eastAsia="等线" w:ascii="Arial" w:cs="Arial" w:hAnsi="Arial"/>
          <w:b w:val="true"/>
          <w:sz w:val="22"/>
        </w:rPr>
        <w:t>Data Protection:</w:t>
      </w:r>
      <w:r>
        <w:rPr>
          <w:rFonts w:eastAsia="等线" w:ascii="Arial" w:cs="Arial" w:hAnsi="Arial"/>
          <w:sz w:val="22"/>
        </w:rPr>
        <w:t xml:space="preserve"> Regular backups and defined disaster recovery commitments to safeguard client data.</w:t>
      </w:r>
    </w:p>
    <w:p>
      <w:pPr>
        <w:spacing w:before="120" w:after="120" w:line="288" w:lineRule="auto"/>
        <w:ind w:left="0"/>
        <w:jc w:val="left"/>
      </w:pPr>
      <w:r>
        <w:rPr>
          <w:rFonts w:eastAsia="等线" w:ascii="Arial" w:cs="Arial" w:hAnsi="Arial"/>
          <w:b w:val="true"/>
          <w:sz w:val="22"/>
        </w:rPr>
        <w:t>Lifetime Upgrades &amp; Support:</w:t>
      </w:r>
      <w:r>
        <w:rPr>
          <w:rFonts w:eastAsia="等线" w:ascii="Arial" w:cs="Arial" w:hAnsi="Arial"/>
          <w:sz w:val="22"/>
        </w:rPr>
        <w:t xml:space="preserve"> Clients will continue to receive ongoing product upgrades, security enhancements, and support for the lifetime of their subscription, ensuring the platform remains current, secure, and aligned with evolving business needs.</w:t>
      </w: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4.2 </w:t>
      </w:r>
      <w:r>
        <w:rPr>
          <w:rFonts w:eastAsia="等线" w:ascii="Arial" w:cs="Arial" w:hAnsi="Arial"/>
          <w:b w:val="true"/>
          <w:sz w:val="32"/>
        </w:rPr>
        <w:t>Client Commitments</w:t>
      </w:r>
      <w:bookmarkEnd w:id="61"/>
    </w:p>
    <w:p>
      <w:pPr>
        <w:spacing w:before="120" w:after="120" w:line="288" w:lineRule="auto"/>
        <w:ind w:left="0"/>
        <w:jc w:val="left"/>
      </w:pPr>
      <w:r>
        <w:rPr>
          <w:rFonts w:eastAsia="等线" w:ascii="Arial" w:cs="Arial" w:hAnsi="Arial"/>
          <w:b w:val="true"/>
          <w:sz w:val="22"/>
        </w:rPr>
        <w:t>User Access &amp; Permissions:</w:t>
      </w:r>
      <w:r>
        <w:rPr>
          <w:rFonts w:eastAsia="等线" w:ascii="Arial" w:cs="Arial" w:hAnsi="Arial"/>
          <w:sz w:val="22"/>
        </w:rPr>
        <w:t xml:space="preserve"> Client to designate system administrators and enforce internal user policies.</w:t>
      </w:r>
    </w:p>
    <w:p>
      <w:pPr>
        <w:spacing w:before="120" w:after="120" w:line="288" w:lineRule="auto"/>
        <w:ind w:left="0"/>
        <w:jc w:val="left"/>
      </w:pPr>
      <w:r>
        <w:rPr>
          <w:rFonts w:eastAsia="等线" w:ascii="Arial" w:cs="Arial" w:hAnsi="Arial"/>
          <w:b w:val="true"/>
          <w:sz w:val="22"/>
        </w:rPr>
        <w:t>Data Provisioning:</w:t>
      </w:r>
      <w:r>
        <w:rPr>
          <w:rFonts w:eastAsia="等线" w:ascii="Arial" w:cs="Arial" w:hAnsi="Arial"/>
          <w:sz w:val="22"/>
        </w:rPr>
        <w:t xml:space="preserve"> Provide accurate, complete, and timely data uploads to enable smooth onboarding and continued operations.</w:t>
      </w:r>
    </w:p>
    <w:p>
      <w:pPr>
        <w:spacing w:before="120" w:after="120" w:line="288" w:lineRule="auto"/>
        <w:ind w:left="0"/>
        <w:jc w:val="left"/>
      </w:pPr>
      <w:r>
        <w:rPr>
          <w:rFonts w:eastAsia="等线" w:ascii="Arial" w:cs="Arial" w:hAnsi="Arial"/>
          <w:b w:val="true"/>
          <w:sz w:val="22"/>
        </w:rPr>
        <w:t>Timely Feedback:</w:t>
      </w:r>
      <w:r>
        <w:rPr>
          <w:rFonts w:eastAsia="等线" w:ascii="Arial" w:cs="Arial" w:hAnsi="Arial"/>
          <w:sz w:val="22"/>
        </w:rPr>
        <w:t xml:space="preserve"> Provide approvals, clarifications, and input during customization and implementation phases to avoid project delays.</w:t>
      </w:r>
    </w:p>
    <w:p>
      <w:pPr>
        <w:spacing w:before="120" w:after="120" w:line="288" w:lineRule="auto"/>
        <w:ind w:left="0"/>
        <w:jc w:val="left"/>
      </w:pPr>
      <w:r>
        <w:rPr>
          <w:rFonts w:eastAsia="等线" w:ascii="Arial" w:cs="Arial" w:hAnsi="Arial"/>
          <w:b w:val="true"/>
          <w:sz w:val="22"/>
        </w:rPr>
        <w:t>Compliance:</w:t>
      </w:r>
      <w:r>
        <w:rPr>
          <w:rFonts w:eastAsia="等线" w:ascii="Arial" w:cs="Arial" w:hAnsi="Arial"/>
          <w:sz w:val="22"/>
        </w:rPr>
        <w:t xml:space="preserve"> Adhere to licensing terms, security practices, and applicable regulations.</w:t>
      </w:r>
    </w:p>
    <w:p>
      <w:pPr>
        <w:spacing w:before="120" w:after="120" w:line="288" w:lineRule="auto"/>
        <w:ind w:left="0"/>
        <w:jc w:val="left"/>
      </w:pPr>
      <w:r>
        <w:rPr>
          <w:rFonts w:eastAsia="等线" w:ascii="Arial" w:cs="Arial" w:hAnsi="Arial"/>
          <w:b w:val="true"/>
          <w:sz w:val="22"/>
        </w:rPr>
        <w:t>Point of Contact:</w:t>
      </w:r>
      <w:r>
        <w:rPr>
          <w:rFonts w:eastAsia="等线" w:ascii="Arial" w:cs="Arial" w:hAnsi="Arial"/>
          <w:sz w:val="22"/>
        </w:rPr>
        <w:t xml:space="preserve"> Designate a primary point of contact (POC) for Mindhive communications. The client commits to responding to vendor queries, requests, or approvals within </w:t>
      </w:r>
      <w:r>
        <w:rPr>
          <w:rFonts w:eastAsia="等线" w:ascii="Arial" w:cs="Arial" w:hAnsi="Arial"/>
          <w:b w:val="true"/>
          <w:sz w:val="22"/>
        </w:rPr>
        <w:t>2–3 working days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Payments:</w:t>
      </w:r>
      <w:r>
        <w:rPr>
          <w:rFonts w:eastAsia="等线" w:ascii="Arial" w:cs="Arial" w:hAnsi="Arial"/>
          <w:sz w:val="22"/>
        </w:rPr>
        <w:t xml:space="preserve"> Ensure timely settlement of subscription fees, invoices, and any approved change request costs as per the agreed commercial terms.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 w:id="62"/>
      <w:r>
        <w:rPr>
          <w:rFonts w:eastAsia="等线" w:ascii="Arial" w:cs="Arial" w:hAnsi="Arial"/>
          <w:color w:val="3370ff"/>
          <w:sz w:val="36"/>
        </w:rPr>
        <w:t xml:space="preserve">5. </w:t>
      </w:r>
      <w:r>
        <w:rPr>
          <w:rFonts w:eastAsia="等线" w:ascii="Arial" w:cs="Arial" w:hAnsi="Arial"/>
          <w:b w:val="true"/>
          <w:sz w:val="36"/>
        </w:rPr>
        <w:t>Customization &amp; Extensions</w:t>
      </w:r>
      <w:bookmarkEnd w:id="62"/>
    </w:p>
    <w:p>
      <w:pPr>
        <w:spacing w:before="120" w:after="120" w:line="288" w:lineRule="auto"/>
        <w:ind w:left="0"/>
        <w:jc w:val="left"/>
      </w:pPr>
      <w:r>
        <w:rPr>
          <w:rFonts w:eastAsia="等线" w:ascii="Arial" w:cs="Arial" w:hAnsi="Arial"/>
          <w:sz w:val="22"/>
        </w:rPr>
        <w:t xml:space="preserve">MAIA provides a baseline suite of standard features out-of-the-box. However, recognizing that every business has unique workflows, the system supports a broad range of </w:t>
      </w:r>
      <w:r>
        <w:rPr>
          <w:rFonts w:eastAsia="等线" w:ascii="Arial" w:cs="Arial" w:hAnsi="Arial"/>
          <w:b w:val="true"/>
          <w:sz w:val="22"/>
        </w:rPr>
        <w:t>customization and extension options</w:t>
      </w:r>
      <w:r>
        <w:rPr>
          <w:rFonts w:eastAsia="等线" w:ascii="Arial" w:cs="Arial" w:hAnsi="Arial"/>
          <w:sz w:val="22"/>
        </w:rPr>
        <w:t>. These are carefully scoped, estimated, and mutually agreed upon prior to execution, ensuring alignment with both business requirements and technical feasibility.</w:t>
      </w:r>
    </w:p>
    <w:p>
      <w:pPr>
        <w:pStyle w:val="2"/>
        <w:spacing w:before="320" w:after="120" w:line="288" w:lineRule="auto"/>
        <w:ind w:left="0"/>
        <w:jc w:val="left"/>
        <w:outlineLvl w:val="1"/>
      </w:pPr>
      <w:bookmarkStart w:name="heading_63" w:id="63"/>
      <w:r>
        <w:rPr>
          <w:rFonts w:eastAsia="等线" w:ascii="Arial" w:cs="Arial" w:hAnsi="Arial"/>
          <w:color w:val="3370ff"/>
          <w:sz w:val="32"/>
        </w:rPr>
        <w:t xml:space="preserve">5.1 </w:t>
      </w:r>
      <w:r>
        <w:rPr>
          <w:rFonts w:eastAsia="等线" w:ascii="Arial" w:cs="Arial" w:hAnsi="Arial"/>
          <w:b w:val="true"/>
          <w:sz w:val="32"/>
        </w:rPr>
        <w:t xml:space="preserve"> Baseline Scope</w:t>
      </w:r>
      <w:bookmarkEnd w:id="63"/>
    </w:p>
    <w:p>
      <w:pPr>
        <w:numPr>
          <w:numId w:val="234"/>
        </w:numPr>
        <w:spacing w:before="120" w:after="120" w:line="288" w:lineRule="auto"/>
        <w:ind w:left="0"/>
        <w:jc w:val="left"/>
      </w:pPr>
      <w:r>
        <w:rPr>
          <w:rFonts w:eastAsia="等线" w:ascii="Arial" w:cs="Arial" w:hAnsi="Arial"/>
          <w:sz w:val="22"/>
        </w:rPr>
        <w:t xml:space="preserve">Delivery of </w:t>
      </w:r>
      <w:r>
        <w:rPr>
          <w:rFonts w:eastAsia="等线" w:ascii="Arial" w:cs="Arial" w:hAnsi="Arial"/>
          <w:b w:val="true"/>
          <w:sz w:val="22"/>
        </w:rPr>
        <w:t>standard MAIA features</w:t>
      </w:r>
      <w:r>
        <w:rPr>
          <w:rFonts w:eastAsia="等线" w:ascii="Arial" w:cs="Arial" w:hAnsi="Arial"/>
          <w:sz w:val="22"/>
        </w:rPr>
        <w:t xml:space="preserve"> as defined in the core specifications.</w:t>
      </w:r>
    </w:p>
    <w:p>
      <w:pPr>
        <w:numPr>
          <w:numId w:val="235"/>
        </w:numPr>
        <w:spacing w:before="120" w:after="120" w:line="288" w:lineRule="auto"/>
        <w:ind w:left="0"/>
        <w:jc w:val="left"/>
      </w:pPr>
      <w:r>
        <w:rPr>
          <w:rFonts w:eastAsia="等线" w:ascii="Arial" w:cs="Arial" w:hAnsi="Arial"/>
          <w:sz w:val="22"/>
        </w:rPr>
        <w:t>Role-based workspaces (Sales, Logistics, Driver, Management).</w:t>
      </w:r>
    </w:p>
    <w:p>
      <w:pPr>
        <w:numPr>
          <w:numId w:val="236"/>
        </w:numPr>
        <w:spacing w:before="120" w:after="120" w:line="288" w:lineRule="auto"/>
        <w:ind w:left="0"/>
        <w:jc w:val="left"/>
      </w:pPr>
      <w:r>
        <w:rPr>
          <w:rFonts w:eastAsia="等线" w:ascii="Arial" w:cs="Arial" w:hAnsi="Arial"/>
          <w:sz w:val="22"/>
        </w:rPr>
        <w:t>Integration-ready foundation for ERP, CRM.</w:t>
      </w: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5.2 </w:t>
      </w:r>
      <w:r>
        <w:rPr>
          <w:rFonts w:eastAsia="等线" w:ascii="Arial" w:cs="Arial" w:hAnsi="Arial"/>
          <w:b w:val="true"/>
          <w:sz w:val="32"/>
        </w:rPr>
        <w:t>Business Process flow</w:t>
      </w:r>
      <w:bookmarkEnd w:id="64"/>
    </w:p>
    <w:p>
      <w:pPr>
        <w:spacing w:before="120" w:after="120" w:line="288" w:lineRule="auto"/>
        <w:ind w:left="0"/>
        <w:jc w:val="left"/>
      </w:pPr>
      <w:r>
        <w:rPr>
          <w:rFonts w:eastAsia="等线" w:ascii="Arial" w:cs="Arial" w:hAnsi="Arial"/>
          <w:b w:val="true"/>
          <w:sz w:val="22"/>
        </w:rPr>
        <w:t>Standard Sales Document Flow (Ideal Flow):</w:t>
      </w:r>
    </w:p>
    <w:p>
      <w:pPr>
        <w:spacing w:before="120" w:after="120" w:line="288" w:lineRule="auto"/>
        <w:ind w:left="0"/>
        <w:jc w:val="left"/>
      </w:pPr>
      <w:r>
        <w:rPr>
          <w:rFonts w:eastAsia="等线" w:ascii="Arial" w:cs="Arial" w:hAnsi="Arial"/>
          <w:sz w:val="22"/>
        </w:rPr>
        <w:t xml:space="preserve">MAIA is able to </w:t>
      </w:r>
      <w:r>
        <w:rPr>
          <w:rFonts w:eastAsia="等线" w:ascii="Arial" w:cs="Arial" w:hAnsi="Arial"/>
          <w:sz w:val="22"/>
        </w:rPr>
        <w:br/>
      </w:r>
      <w:r>
        <w:rPr>
          <w:rFonts w:eastAsia="等线" w:ascii="Arial" w:cs="Arial" w:hAnsi="Arial"/>
          <w:b w:val="true"/>
          <w:sz w:val="22"/>
        </w:rPr>
        <w:t>Quotation → Sales Order (SO) → Proforma → Delivery Note (DN/DO) → Invoice → Credit Note (if needed)</w:t>
      </w:r>
    </w:p>
    <w:p>
      <w:pPr>
        <w:spacing w:before="120" w:after="120" w:line="288" w:lineRule="auto"/>
        <w:ind w:left="0"/>
        <w:jc w:val="center"/>
      </w:pPr>
      <w:r>
        <w:drawing>
          <wp:inline distT="0" distR="0" distB="0" distL="0">
            <wp:extent cx="5257800" cy="2476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Order-Centric Record Grouping</w:t>
      </w:r>
    </w:p>
    <w:p>
      <w:pPr>
        <w:spacing w:before="120" w:after="120" w:line="288" w:lineRule="auto"/>
        <w:ind w:left="0"/>
        <w:jc w:val="left"/>
      </w:pPr>
      <w:r>
        <w:rPr>
          <w:rFonts w:eastAsia="等线" w:ascii="Arial" w:cs="Arial" w:hAnsi="Arial"/>
          <w:sz w:val="22"/>
        </w:rPr>
        <w:t xml:space="preserve">MAIA adopts an </w:t>
      </w:r>
      <w:r>
        <w:rPr>
          <w:rFonts w:eastAsia="等线" w:ascii="Arial" w:cs="Arial" w:hAnsi="Arial"/>
          <w:b w:val="true"/>
          <w:sz w:val="22"/>
        </w:rPr>
        <w:t>order-centric record grouping model</w:t>
      </w:r>
      <w:r>
        <w:rPr>
          <w:rFonts w:eastAsia="等线" w:ascii="Arial" w:cs="Arial" w:hAnsi="Arial"/>
          <w:sz w:val="22"/>
        </w:rPr>
        <w:t xml:space="preserve">, where the </w:t>
      </w:r>
      <w:r>
        <w:rPr>
          <w:rFonts w:eastAsia="等线" w:ascii="Arial" w:cs="Arial" w:hAnsi="Arial"/>
          <w:b w:val="true"/>
          <w:sz w:val="22"/>
        </w:rPr>
        <w:t>Sales Order acts as the central record</w:t>
      </w:r>
      <w:r>
        <w:rPr>
          <w:rFonts w:eastAsia="等线" w:ascii="Arial" w:cs="Arial" w:hAnsi="Arial"/>
          <w:sz w:val="22"/>
        </w:rPr>
        <w:t>. All related documents are linked to the SO, providing:</w:t>
      </w:r>
    </w:p>
    <w:p>
      <w:pPr>
        <w:numPr>
          <w:numId w:val="237"/>
        </w:numPr>
        <w:spacing w:before="120" w:after="120" w:line="288" w:lineRule="auto"/>
        <w:ind w:left="0"/>
        <w:jc w:val="left"/>
      </w:pPr>
      <w:r>
        <w:rPr>
          <w:rFonts w:eastAsia="等线" w:ascii="Arial" w:cs="Arial" w:hAnsi="Arial"/>
          <w:b w:val="true"/>
          <w:sz w:val="22"/>
        </w:rPr>
        <w:t>Traceability</w:t>
      </w:r>
      <w:r>
        <w:rPr>
          <w:rFonts w:eastAsia="等线" w:ascii="Arial" w:cs="Arial" w:hAnsi="Arial"/>
          <w:sz w:val="22"/>
        </w:rPr>
        <w:t>: A clear audit trail from quotation to invoice, ensuring every action is tied to a single order reference.</w:t>
      </w:r>
    </w:p>
    <w:p>
      <w:pPr>
        <w:numPr>
          <w:numId w:val="238"/>
        </w:numPr>
        <w:spacing w:before="120" w:after="120" w:line="288" w:lineRule="auto"/>
        <w:ind w:left="0"/>
        <w:jc w:val="left"/>
      </w:pPr>
      <w:r>
        <w:rPr>
          <w:rFonts w:eastAsia="等线" w:ascii="Arial" w:cs="Arial" w:hAnsi="Arial"/>
          <w:b w:val="true"/>
          <w:sz w:val="22"/>
        </w:rPr>
        <w:t>Editability During Proforma Stage</w:t>
      </w:r>
      <w:r>
        <w:rPr>
          <w:rFonts w:eastAsia="等线" w:ascii="Arial" w:cs="Arial" w:hAnsi="Arial"/>
          <w:sz w:val="22"/>
        </w:rPr>
        <w:t xml:space="preserve">: By grouping related documents under the SO, any changes made at the </w:t>
      </w:r>
      <w:r>
        <w:rPr>
          <w:rFonts w:eastAsia="等线" w:ascii="Arial" w:cs="Arial" w:hAnsi="Arial"/>
          <w:b w:val="true"/>
          <w:sz w:val="22"/>
        </w:rPr>
        <w:t>proforma invoice stage</w:t>
      </w:r>
      <w:r>
        <w:rPr>
          <w:rFonts w:eastAsia="等线" w:ascii="Arial" w:cs="Arial" w:hAnsi="Arial"/>
          <w:sz w:val="22"/>
        </w:rPr>
        <w:t xml:space="preserve"> remain easy to edit and manage. This allows teams to refine order details (quantities, pricing, discounts) before finalization.</w:t>
      </w:r>
    </w:p>
    <w:p>
      <w:pPr>
        <w:numPr>
          <w:numId w:val="239"/>
        </w:numPr>
        <w:spacing w:before="120" w:after="120" w:line="288" w:lineRule="auto"/>
        <w:ind w:left="0"/>
        <w:jc w:val="left"/>
      </w:pPr>
      <w:r>
        <w:rPr>
          <w:rFonts w:eastAsia="等线" w:ascii="Arial" w:cs="Arial" w:hAnsi="Arial"/>
          <w:b w:val="true"/>
          <w:sz w:val="22"/>
        </w:rPr>
        <w:t>Final Invoice Accuracy</w:t>
      </w:r>
      <w:r>
        <w:rPr>
          <w:rFonts w:eastAsia="等线" w:ascii="Arial" w:cs="Arial" w:hAnsi="Arial"/>
          <w:sz w:val="22"/>
        </w:rPr>
        <w:t>: The final invoice will always reflect the last agreed-upon version, minimizing errors and disputes.</w:t>
      </w:r>
    </w:p>
    <w:p>
      <w:pPr>
        <w:numPr>
          <w:numId w:val="240"/>
        </w:numPr>
        <w:spacing w:before="120" w:after="120" w:line="288" w:lineRule="auto"/>
        <w:ind w:left="453"/>
        <w:jc w:val="left"/>
      </w:pPr>
      <w:r>
        <w:rPr>
          <w:rFonts w:eastAsia="等线" w:ascii="Arial" w:cs="Arial" w:hAnsi="Arial"/>
          <w:b w:val="true"/>
          <w:sz w:val="22"/>
        </w:rPr>
        <w:t>Invoice Traceability</w:t>
      </w:r>
      <w:r>
        <w:rPr>
          <w:rFonts w:eastAsia="等线" w:ascii="Arial" w:cs="Arial" w:hAnsi="Arial"/>
          <w:sz w:val="22"/>
        </w:rPr>
        <w:br/>
      </w:r>
      <w:r>
        <w:rPr>
          <w:rFonts w:eastAsia="等线" w:ascii="Arial" w:cs="Arial" w:hAnsi="Arial"/>
          <w:sz w:val="22"/>
        </w:rPr>
        <w:t xml:space="preserve"> Every invoice is linked directly back to its originating Sales Order (SO). This means stakeholders can always trace invoices to the specific order they belong to, even in cases where </w:t>
      </w:r>
      <w:r>
        <w:rPr>
          <w:rFonts w:eastAsia="等线" w:ascii="Arial" w:cs="Arial" w:hAnsi="Arial"/>
          <w:b w:val="true"/>
          <w:sz w:val="22"/>
        </w:rPr>
        <w:t>one order may generate multiple invoices</w:t>
      </w:r>
      <w:r>
        <w:rPr>
          <w:rFonts w:eastAsia="等线" w:ascii="Arial" w:cs="Arial" w:hAnsi="Arial"/>
          <w:sz w:val="22"/>
        </w:rPr>
        <w:t xml:space="preserve"> (e.g., partial deliveries or staged billing).</w:t>
      </w:r>
    </w:p>
    <w:p>
      <w:pPr>
        <w:numPr>
          <w:numId w:val="241"/>
        </w:numPr>
        <w:spacing w:before="120" w:after="120" w:line="288" w:lineRule="auto"/>
        <w:ind w:left="0"/>
        <w:jc w:val="left"/>
      </w:pPr>
      <w:r>
        <w:rPr>
          <w:rFonts w:eastAsia="等线" w:ascii="Arial" w:cs="Arial" w:hAnsi="Arial"/>
          <w:b w:val="true"/>
          <w:sz w:val="22"/>
        </w:rPr>
        <w:t>Refund Handling</w:t>
      </w:r>
      <w:r>
        <w:rPr>
          <w:rFonts w:eastAsia="等线" w:ascii="Arial" w:cs="Arial" w:hAnsi="Arial"/>
          <w:sz w:val="22"/>
        </w:rPr>
        <w:t>:</w:t>
      </w:r>
    </w:p>
    <w:p>
      <w:pPr>
        <w:numPr>
          <w:numId w:val="242"/>
        </w:numPr>
        <w:spacing w:before="120" w:after="120" w:line="288" w:lineRule="auto"/>
        <w:ind w:left="453"/>
        <w:jc w:val="left"/>
      </w:pPr>
      <w:r>
        <w:rPr>
          <w:rFonts w:eastAsia="等线" w:ascii="Arial" w:cs="Arial" w:hAnsi="Arial"/>
          <w:b w:val="true"/>
          <w:sz w:val="22"/>
        </w:rPr>
        <w:t>Payment Voucher</w:t>
      </w:r>
      <w:r>
        <w:rPr>
          <w:rFonts w:eastAsia="等线" w:ascii="Arial" w:cs="Arial" w:hAnsi="Arial"/>
          <w:sz w:val="22"/>
        </w:rPr>
        <w:t>: Used to record and track refunds or return transactions giving finance team visibility into adjustments.</w:t>
      </w:r>
    </w:p>
    <w:p>
      <w:pPr>
        <w:numPr>
          <w:numId w:val="243"/>
        </w:numPr>
        <w:spacing w:before="120" w:after="120" w:line="288" w:lineRule="auto"/>
        <w:ind w:left="453"/>
        <w:jc w:val="left"/>
      </w:pPr>
      <w:r>
        <w:rPr>
          <w:rFonts w:eastAsia="等线" w:ascii="Arial" w:cs="Arial" w:hAnsi="Arial"/>
          <w:b w:val="true"/>
          <w:sz w:val="22"/>
        </w:rPr>
        <w:t>Credit Note</w:t>
      </w:r>
      <w:r>
        <w:rPr>
          <w:rFonts w:eastAsia="等线" w:ascii="Arial" w:cs="Arial" w:hAnsi="Arial"/>
          <w:sz w:val="22"/>
        </w:rPr>
        <w:t xml:space="preserve">: Only issued </w:t>
      </w:r>
      <w:r>
        <w:rPr>
          <w:rFonts w:eastAsia="等线" w:ascii="Arial" w:cs="Arial" w:hAnsi="Arial"/>
          <w:b w:val="true"/>
          <w:sz w:val="22"/>
        </w:rPr>
        <w:t>after the invoice is finalized</w:t>
      </w:r>
      <w:r>
        <w:rPr>
          <w:rFonts w:eastAsia="等线" w:ascii="Arial" w:cs="Arial" w:hAnsi="Arial"/>
          <w:sz w:val="22"/>
        </w:rPr>
        <w:t>, ensuring compliance with accounting standards and maintaining accurate financial reporting.</w:t>
      </w:r>
    </w:p>
    <w:p>
      <w:pPr>
        <w:numPr>
          <w:numId w:val="244"/>
        </w:numPr>
        <w:spacing w:before="120" w:after="120" w:line="288" w:lineRule="auto"/>
        <w:ind w:left="0"/>
        <w:jc w:val="left"/>
      </w:pPr>
      <w:r>
        <w:rPr>
          <w:rFonts w:eastAsia="等线" w:ascii="Arial" w:cs="Arial" w:hAnsi="Arial"/>
          <w:sz w:val="22"/>
        </w:rPr>
        <w:t xml:space="preserve">List of Documents under 1 </w:t>
      </w:r>
      <w:r>
        <w:rPr>
          <w:rFonts w:eastAsia="等线" w:ascii="Arial" w:cs="Arial" w:hAnsi="Arial"/>
          <w:b w:val="true"/>
          <w:sz w:val="22"/>
        </w:rPr>
        <w:t>Sales Order</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4650"/>
      </w:tblGrid>
      <w:tr>
        <w:tc>
          <w:tcPr>
            <w:tcW w:w="61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documents under 1 Sales order</w:t>
            </w:r>
          </w:p>
        </w:tc>
        <w:tc>
          <w:tcPr>
            <w:tcW w:w="4650" w:type="dxa"/>
            <w:hMerge w:val="continue"/>
            <w:tcMar>
              <w:top w:type="dxa" w:w="60"/>
              <w:left w:type="dxa" w:w="120"/>
              <w:bottom w:type="dxa" w:w="30"/>
              <w:right w:type="dxa" w:w="120"/>
            </w:tcMar>
          </w:tcPr>
          <w:p>
            <w:pPr>
              <w:spacing w:before="120" w:after="120" w:line="288" w:lineRule="auto"/>
              <w:ind w:left="0"/>
              <w:jc w:val="left"/>
            </w:pP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Sales Order</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Quotation </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Pick list </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(DO)</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Invoice </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Voucher</w:t>
            </w:r>
          </w:p>
        </w:tc>
      </w:tr>
    </w:tbl>
    <w:p>
      <w:pPr>
        <w:pStyle w:val="2"/>
        <w:spacing w:before="320" w:after="120" w:line="288" w:lineRule="auto"/>
        <w:ind w:left="0"/>
        <w:jc w:val="left"/>
        <w:outlineLvl w:val="1"/>
      </w:pPr>
      <w:bookmarkStart w:name="heading_65" w:id="65"/>
      <w:r>
        <w:rPr>
          <w:rFonts w:eastAsia="等线" w:ascii="Arial" w:cs="Arial" w:hAnsi="Arial"/>
          <w:color w:val="3370ff"/>
          <w:sz w:val="32"/>
        </w:rPr>
        <w:t xml:space="preserve">5.3 </w:t>
      </w:r>
      <w:r>
        <w:rPr>
          <w:rFonts w:eastAsia="等线" w:ascii="Arial" w:cs="Arial" w:hAnsi="Arial"/>
          <w:b w:val="true"/>
          <w:sz w:val="32"/>
        </w:rPr>
        <w:t>Customization Options</w:t>
      </w:r>
      <w:bookmarkEnd w:id="65"/>
    </w:p>
    <w:p>
      <w:pPr>
        <w:spacing w:before="120" w:after="120" w:line="288" w:lineRule="auto"/>
        <w:ind w:left="0"/>
        <w:jc w:val="left"/>
      </w:pPr>
      <w:r>
        <w:rPr>
          <w:rFonts w:eastAsia="等线" w:ascii="Arial" w:cs="Arial" w:hAnsi="Arial"/>
          <w:b w:val="true"/>
          <w:sz w:val="22"/>
        </w:rPr>
        <w:t>API Integrations</w:t>
      </w:r>
    </w:p>
    <w:p>
      <w:pPr>
        <w:numPr>
          <w:numId w:val="245"/>
        </w:numPr>
        <w:spacing w:before="120" w:after="120" w:line="288" w:lineRule="auto"/>
        <w:ind w:left="0"/>
        <w:jc w:val="left"/>
      </w:pPr>
      <w:r>
        <w:rPr>
          <w:rFonts w:eastAsia="等线" w:ascii="Arial" w:cs="Arial" w:hAnsi="Arial"/>
          <w:sz w:val="22"/>
        </w:rPr>
        <w:t>Direct integration with third-party systems such as CRMs and ERPs.</w:t>
      </w:r>
    </w:p>
    <w:p>
      <w:pPr>
        <w:numPr>
          <w:numId w:val="246"/>
        </w:numPr>
        <w:spacing w:before="120" w:after="120" w:line="288" w:lineRule="auto"/>
        <w:ind w:left="0"/>
        <w:jc w:val="left"/>
      </w:pPr>
      <w:r>
        <w:rPr>
          <w:rFonts w:eastAsia="等线" w:ascii="Arial" w:cs="Arial" w:hAnsi="Arial"/>
          <w:sz w:val="22"/>
        </w:rPr>
        <w:t xml:space="preserve">Initial integration target: </w:t>
      </w:r>
      <w:r>
        <w:rPr>
          <w:rFonts w:eastAsia="等线" w:ascii="Arial" w:cs="Arial" w:hAnsi="Arial"/>
          <w:b w:val="true"/>
          <w:sz w:val="22"/>
        </w:rPr>
        <w:t>AutoCount</w:t>
      </w:r>
      <w:r>
        <w:rPr>
          <w:rFonts w:eastAsia="等线" w:ascii="Arial" w:cs="Arial" w:hAnsi="Arial"/>
          <w:sz w:val="22"/>
        </w:rPr>
        <w:t>.</w:t>
      </w:r>
    </w:p>
    <w:p>
      <w:pPr>
        <w:numPr>
          <w:numId w:val="247"/>
        </w:numPr>
        <w:spacing w:before="120" w:after="120" w:line="288" w:lineRule="auto"/>
        <w:ind w:left="0"/>
        <w:jc w:val="left"/>
      </w:pPr>
      <w:r>
        <w:rPr>
          <w:rFonts w:eastAsia="等线" w:ascii="Arial" w:cs="Arial" w:hAnsi="Arial"/>
          <w:b w:val="true"/>
          <w:sz w:val="22"/>
        </w:rPr>
        <w:t>Warehouse Management System (WMS) integration</w:t>
      </w:r>
      <w:r>
        <w:rPr>
          <w:rFonts w:eastAsia="等线" w:ascii="Arial" w:cs="Arial" w:hAnsi="Arial"/>
          <w:sz w:val="22"/>
        </w:rPr>
        <w:t xml:space="preserve"> for inventory sync and operational alignment.</w:t>
      </w:r>
    </w:p>
    <w:p>
      <w:pPr>
        <w:spacing w:before="120" w:after="120" w:line="288" w:lineRule="auto"/>
        <w:ind w:left="0"/>
        <w:jc w:val="left"/>
      </w:pPr>
      <w:r>
        <w:rPr>
          <w:rFonts w:eastAsia="等线" w:ascii="Arial" w:cs="Arial" w:hAnsi="Arial"/>
          <w:b w:val="true"/>
          <w:sz w:val="22"/>
        </w:rPr>
        <w:t>Workflow Automation</w:t>
      </w:r>
    </w:p>
    <w:p>
      <w:pPr>
        <w:numPr>
          <w:numId w:val="248"/>
        </w:numPr>
        <w:spacing w:before="120" w:after="120" w:line="288" w:lineRule="auto"/>
        <w:ind w:left="0"/>
        <w:jc w:val="left"/>
      </w:pPr>
      <w:r>
        <w:rPr>
          <w:rFonts w:eastAsia="等线" w:ascii="Arial" w:cs="Arial" w:hAnsi="Arial"/>
          <w:sz w:val="22"/>
        </w:rPr>
        <w:t>Automation of key processes unique to the client’s operations, e.g.:</w:t>
      </w:r>
    </w:p>
    <w:p>
      <w:pPr>
        <w:numPr>
          <w:numId w:val="249"/>
        </w:numPr>
        <w:spacing w:before="120" w:after="120" w:line="288" w:lineRule="auto"/>
        <w:ind w:left="453"/>
        <w:jc w:val="left"/>
      </w:pPr>
      <w:r>
        <w:rPr>
          <w:rFonts w:eastAsia="等线" w:ascii="Arial" w:cs="Arial" w:hAnsi="Arial"/>
          <w:sz w:val="22"/>
        </w:rPr>
        <w:t xml:space="preserve">Automatic creation of a </w:t>
      </w:r>
      <w:r>
        <w:rPr>
          <w:rFonts w:eastAsia="等线" w:ascii="Arial" w:cs="Arial" w:hAnsi="Arial"/>
          <w:b w:val="true"/>
          <w:sz w:val="22"/>
        </w:rPr>
        <w:t>Delivery Note (DO)</w:t>
      </w:r>
      <w:r>
        <w:rPr>
          <w:rFonts w:eastAsia="等线" w:ascii="Arial" w:cs="Arial" w:hAnsi="Arial"/>
          <w:sz w:val="22"/>
        </w:rPr>
        <w:t xml:space="preserve"> upon finalization of a Sales Order.</w:t>
      </w:r>
    </w:p>
    <w:p>
      <w:pPr>
        <w:spacing w:before="120" w:after="120" w:line="288" w:lineRule="auto"/>
        <w:ind w:left="0"/>
        <w:jc w:val="left"/>
      </w:pPr>
      <w:r>
        <w:rPr>
          <w:rFonts w:eastAsia="等线" w:ascii="Arial" w:cs="Arial" w:hAnsi="Arial"/>
          <w:b w:val="true"/>
          <w:sz w:val="22"/>
        </w:rPr>
        <w:t>UI/UX Modifications</w:t>
      </w:r>
    </w:p>
    <w:p>
      <w:pPr>
        <w:numPr>
          <w:numId w:val="250"/>
        </w:numPr>
        <w:spacing w:before="120" w:after="120" w:line="288" w:lineRule="auto"/>
        <w:ind w:left="0"/>
        <w:jc w:val="left"/>
      </w:pPr>
      <w:r>
        <w:rPr>
          <w:rFonts w:eastAsia="等线" w:ascii="Arial" w:cs="Arial" w:hAnsi="Arial"/>
          <w:sz w:val="22"/>
        </w:rPr>
        <w:t>Tailored dashboards and analytics to enhance usability, such as:</w:t>
      </w:r>
    </w:p>
    <w:p>
      <w:pPr>
        <w:numPr>
          <w:numId w:val="251"/>
        </w:numPr>
        <w:spacing w:before="120" w:after="120" w:line="288" w:lineRule="auto"/>
        <w:ind w:left="453"/>
        <w:jc w:val="left"/>
      </w:pPr>
      <w:r>
        <w:rPr>
          <w:rFonts w:eastAsia="等线" w:ascii="Arial" w:cs="Arial" w:hAnsi="Arial"/>
          <w:sz w:val="22"/>
        </w:rPr>
        <w:t>Overall sales overview.</w:t>
      </w:r>
    </w:p>
    <w:p>
      <w:pPr>
        <w:numPr>
          <w:numId w:val="252"/>
        </w:numPr>
        <w:spacing w:before="120" w:after="120" w:line="288" w:lineRule="auto"/>
        <w:ind w:left="453"/>
        <w:jc w:val="left"/>
      </w:pPr>
      <w:r>
        <w:rPr>
          <w:rFonts w:eastAsia="等线" w:ascii="Arial" w:cs="Arial" w:hAnsi="Arial"/>
          <w:sz w:val="22"/>
        </w:rPr>
        <w:t>Outstanding payments monitoring.</w:t>
      </w:r>
    </w:p>
    <w:p>
      <w:pPr>
        <w:spacing w:before="120" w:after="120" w:line="288" w:lineRule="auto"/>
        <w:ind w:left="0"/>
        <w:jc w:val="left"/>
      </w:pPr>
      <w:r>
        <w:rPr>
          <w:rFonts w:eastAsia="等线" w:ascii="Arial" w:cs="Arial" w:hAnsi="Arial"/>
          <w:b w:val="true"/>
          <w:sz w:val="22"/>
        </w:rPr>
        <w:t>Custom Modules</w:t>
      </w:r>
    </w:p>
    <w:p>
      <w:pPr>
        <w:numPr>
          <w:numId w:val="253"/>
        </w:numPr>
        <w:spacing w:before="120" w:after="120" w:line="288" w:lineRule="auto"/>
        <w:ind w:left="0"/>
        <w:jc w:val="left"/>
      </w:pPr>
      <w:r>
        <w:rPr>
          <w:rFonts w:eastAsia="等线" w:ascii="Arial" w:cs="Arial" w:hAnsi="Arial"/>
          <w:b w:val="true"/>
          <w:sz w:val="22"/>
        </w:rPr>
        <w:t>Custom Box Quotation Module</w:t>
      </w:r>
      <w:r>
        <w:rPr>
          <w:rFonts w:eastAsia="等线" w:ascii="Arial" w:cs="Arial" w:hAnsi="Arial"/>
          <w:sz w:val="22"/>
        </w:rPr>
        <w:t xml:space="preserve"> designed based on IAM’s Excel models:</w:t>
      </w:r>
    </w:p>
    <w:p>
      <w:pPr>
        <w:numPr>
          <w:numId w:val="254"/>
        </w:numPr>
        <w:spacing w:before="120" w:after="120" w:line="288" w:lineRule="auto"/>
        <w:ind w:left="453"/>
        <w:jc w:val="left"/>
      </w:pPr>
      <w:r>
        <w:rPr>
          <w:rFonts w:eastAsia="等线" w:ascii="Arial" w:cs="Arial" w:hAnsi="Arial"/>
          <w:sz w:val="22"/>
        </w:rPr>
        <w:t>RSC Sheet (calculation logic provided by IAM Worldwide Sdn Bhd).</w:t>
      </w:r>
    </w:p>
    <w:p>
      <w:pPr>
        <w:spacing w:before="120" w:after="120" w:line="288" w:lineRule="auto"/>
        <w:ind w:left="0"/>
        <w:jc w:val="left"/>
      </w:pPr>
      <w:r>
        <w:rPr>
          <w:rFonts w:eastAsia="等线" w:ascii="Arial" w:cs="Arial" w:hAnsi="Arial"/>
          <w:b w:val="true"/>
          <w:color w:val="646a73"/>
          <w:sz w:val="22"/>
        </w:rPr>
        <w:t>[Custom Made - RSC 1024 (1).xlsx]</w:t>
      </w:r>
    </w:p>
    <w:p>
      <w:pPr>
        <w:numPr>
          <w:numId w:val="255"/>
        </w:numPr>
        <w:spacing w:before="120" w:after="120" w:line="288" w:lineRule="auto"/>
        <w:ind w:left="453"/>
        <w:jc w:val="left"/>
      </w:pPr>
      <w:r>
        <w:rPr>
          <w:rFonts w:eastAsia="等线" w:ascii="Arial" w:cs="Arial" w:hAnsi="Arial"/>
          <w:sz w:val="22"/>
        </w:rPr>
        <w:t>Diecut Sheet (calculation logic provided by IAM Worldwide Sdn Bhd).</w:t>
      </w:r>
    </w:p>
    <w:p>
      <w:pPr>
        <w:spacing w:before="120" w:after="120" w:line="288" w:lineRule="auto"/>
        <w:ind w:left="0"/>
        <w:jc w:val="left"/>
      </w:pPr>
      <w:r>
        <w:rPr>
          <w:rFonts w:eastAsia="等线" w:ascii="Arial" w:cs="Arial" w:hAnsi="Arial"/>
          <w:b w:val="true"/>
          <w:color w:val="646a73"/>
          <w:sz w:val="22"/>
        </w:rPr>
        <w:t>[Custom Made - Diecut 0825.xlsx]</w:t>
      </w:r>
    </w:p>
    <w:p>
      <w:pPr>
        <w:pStyle w:val="2"/>
        <w:spacing w:before="320" w:after="120" w:line="288" w:lineRule="auto"/>
        <w:ind w:left="0"/>
        <w:jc w:val="left"/>
        <w:outlineLvl w:val="1"/>
      </w:pPr>
      <w:bookmarkStart w:name="heading_66" w:id="66"/>
      <w:r>
        <w:rPr>
          <w:rFonts w:eastAsia="等线" w:ascii="Arial" w:cs="Arial" w:hAnsi="Arial"/>
          <w:color w:val="3370ff"/>
          <w:sz w:val="32"/>
        </w:rPr>
        <w:t xml:space="preserve">5.4 </w:t>
      </w:r>
      <w:r>
        <w:rPr>
          <w:rFonts w:eastAsia="等线" w:ascii="Arial" w:cs="Arial" w:hAnsi="Arial"/>
          <w:b w:val="true"/>
          <w:sz w:val="32"/>
        </w:rPr>
        <w:t xml:space="preserve"> </w:t>
      </w:r>
      <w:r>
        <w:rPr>
          <w:rFonts w:eastAsia="等线" w:ascii="Arial" w:cs="Arial" w:hAnsi="Arial"/>
          <w:b w:val="true"/>
          <w:sz w:val="32"/>
        </w:rPr>
        <w:t>Approval Processes</w:t>
      </w:r>
      <w:bookmarkEnd w:id="66"/>
    </w:p>
    <w:p>
      <w:pPr>
        <w:spacing w:before="120" w:after="120" w:line="288" w:lineRule="auto"/>
        <w:ind w:left="0"/>
        <w:jc w:val="left"/>
      </w:pPr>
      <w:r>
        <w:rPr>
          <w:rFonts w:eastAsia="等线" w:ascii="Arial" w:cs="Arial" w:hAnsi="Arial"/>
          <w:sz w:val="22"/>
        </w:rPr>
        <w:t xml:space="preserve">MAIA incorporates a robust approval workflow engine to safeguard compliance and ensure management oversight across critical business processes. Approvals are not tied to individual users but instead operate on a </w:t>
      </w:r>
      <w:r>
        <w:rPr>
          <w:rFonts w:eastAsia="等线" w:ascii="Arial" w:cs="Arial" w:hAnsi="Arial"/>
          <w:b w:val="true"/>
          <w:sz w:val="22"/>
        </w:rPr>
        <w:t>role-based model</w:t>
      </w:r>
      <w:r>
        <w:rPr>
          <w:rFonts w:eastAsia="等线" w:ascii="Arial" w:cs="Arial" w:hAnsi="Arial"/>
          <w:sz w:val="22"/>
        </w:rPr>
        <w:t>, meaning any user assigned to the designated role group can perform the required approval. This ensures flexibility, accountability, and continuity even if specific users are unavailable.</w:t>
      </w:r>
    </w:p>
    <w:p>
      <w:pPr>
        <w:numPr>
          <w:numId w:val="256"/>
        </w:numPr>
        <w:spacing w:before="120" w:after="120" w:line="288" w:lineRule="auto"/>
        <w:ind w:left="0"/>
        <w:jc w:val="left"/>
      </w:pPr>
      <w:r>
        <w:rPr>
          <w:rFonts w:eastAsia="等线" w:ascii="Arial" w:cs="Arial" w:hAnsi="Arial"/>
          <w:sz w:val="22"/>
        </w:rPr>
        <w:t>Quotation / Sales Order approval when selling price falls below minimum threshold.</w:t>
      </w:r>
    </w:p>
    <w:p>
      <w:pPr>
        <w:numPr>
          <w:numId w:val="257"/>
        </w:numPr>
        <w:spacing w:before="120" w:after="120" w:line="288" w:lineRule="auto"/>
        <w:ind w:left="0"/>
        <w:jc w:val="left"/>
      </w:pPr>
      <w:r>
        <w:rPr>
          <w:rFonts w:eastAsia="等线" w:ascii="Arial" w:cs="Arial" w:hAnsi="Arial"/>
          <w:sz w:val="22"/>
        </w:rPr>
        <w:t>Management approval required if a customer approaches their credit limit prior to creating a Sales Order.</w:t>
      </w:r>
    </w:p>
    <w:p>
      <w:pPr>
        <w:numPr>
          <w:numId w:val="258"/>
        </w:numPr>
        <w:spacing w:before="120" w:after="120" w:line="288" w:lineRule="auto"/>
        <w:ind w:left="0"/>
        <w:jc w:val="left"/>
      </w:pPr>
      <w:r>
        <w:rPr>
          <w:rFonts w:eastAsia="等线" w:ascii="Arial" w:cs="Arial" w:hAnsi="Arial"/>
          <w:sz w:val="22"/>
        </w:rPr>
        <w:t>Delivery Note(DO) approval required if the Delivery Note or Deliver Note items differ from the original Sales Order.</w:t>
      </w:r>
    </w:p>
    <w:p>
      <w:pPr>
        <w:numPr>
          <w:numId w:val="259"/>
        </w:numPr>
        <w:spacing w:before="120" w:after="120" w:line="288" w:lineRule="auto"/>
        <w:ind w:left="0"/>
        <w:jc w:val="left"/>
      </w:pPr>
      <w:r>
        <w:rPr>
          <w:rFonts w:eastAsia="等线" w:ascii="Arial" w:cs="Arial" w:hAnsi="Arial"/>
          <w:sz w:val="22"/>
        </w:rPr>
        <w:t>Delivery Note(DO) Approval required if the order is Cash payment</w:t>
      </w:r>
    </w:p>
    <w:p>
      <w:pPr>
        <w:pStyle w:val="2"/>
        <w:spacing w:before="320" w:after="120" w:line="288" w:lineRule="auto"/>
        <w:ind w:left="0"/>
        <w:jc w:val="left"/>
        <w:outlineLvl w:val="1"/>
      </w:pPr>
      <w:bookmarkStart w:name="heading_67" w:id="67"/>
      <w:r>
        <w:rPr>
          <w:rFonts w:eastAsia="等线" w:ascii="Arial" w:cs="Arial" w:hAnsi="Arial"/>
          <w:color w:val="3370ff"/>
          <w:sz w:val="32"/>
        </w:rPr>
        <w:t xml:space="preserve">5.5 </w:t>
      </w:r>
      <w:r>
        <w:rPr>
          <w:rFonts w:eastAsia="等线" w:ascii="Arial" w:cs="Arial" w:hAnsi="Arial"/>
          <w:b w:val="true"/>
          <w:sz w:val="32"/>
        </w:rPr>
        <w:t>Custom Notification</w:t>
      </w:r>
      <w:bookmarkEnd w:id="67"/>
    </w:p>
    <w:p>
      <w:pPr>
        <w:spacing w:before="120" w:after="120" w:line="288" w:lineRule="auto"/>
        <w:ind w:left="0"/>
        <w:jc w:val="left"/>
      </w:pPr>
      <w:r>
        <w:rPr>
          <w:rFonts w:eastAsia="等线" w:ascii="Arial" w:cs="Arial" w:hAnsi="Arial"/>
          <w:sz w:val="22"/>
        </w:rPr>
        <w:t>Automated reminders to drive timely actions and improve operational efficiency:</w:t>
      </w:r>
    </w:p>
    <w:p>
      <w:pPr>
        <w:numPr>
          <w:numId w:val="260"/>
        </w:numPr>
        <w:spacing w:before="120" w:after="120" w:line="288" w:lineRule="auto"/>
        <w:ind w:left="0"/>
        <w:jc w:val="left"/>
      </w:pPr>
      <w:r>
        <w:rPr>
          <w:rFonts w:eastAsia="等线" w:ascii="Arial" w:cs="Arial" w:hAnsi="Arial"/>
          <w:sz w:val="22"/>
        </w:rPr>
        <w:t>Stock availability notifications.</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4080"/>
        <w:gridCol w:w="216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Notifications</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Scenarios</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Triggers</w:t>
            </w:r>
          </w:p>
        </w:tc>
      </w:tr>
      <w:tr>
        <w:tc>
          <w:tcPr>
            <w:tcW w:w="1680" w:type="dxa"/>
            <w:tcMar>
              <w:top w:type="dxa" w:w="60"/>
              <w:left w:type="dxa" w:w="120"/>
              <w:bottom w:type="dxa" w:w="30"/>
              <w:right w:type="dxa" w:w="120"/>
            </w:tcMar>
          </w:tcPr>
          <w:p>
            <w:pPr>
              <w:numPr>
                <w:numId w:val="261"/>
              </w:numPr>
              <w:spacing w:before="120" w:after="120" w:line="288" w:lineRule="auto"/>
              <w:ind w:left="0"/>
              <w:jc w:val="left"/>
            </w:pPr>
            <w:r>
              <w:rPr>
                <w:rFonts w:eastAsia="等线" w:ascii="Arial" w:cs="Arial" w:hAnsi="Arial"/>
                <w:sz w:val="22"/>
              </w:rPr>
              <w:t>low stock product</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Notification trigger when item is low in stock </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When item is at the lowest minimum threshold </w:t>
            </w:r>
          </w:p>
        </w:tc>
      </w:tr>
      <w:tr>
        <w:tc>
          <w:tcPr>
            <w:tcW w:w="1680" w:type="dxa"/>
            <w:tcMar>
              <w:top w:type="dxa" w:w="60"/>
              <w:left w:type="dxa" w:w="120"/>
              <w:bottom w:type="dxa" w:w="30"/>
              <w:right w:type="dxa" w:w="120"/>
            </w:tcMar>
          </w:tcPr>
          <w:p>
            <w:pPr>
              <w:numPr>
                <w:numId w:val="262"/>
              </w:numPr>
              <w:spacing w:before="120" w:after="120" w:line="288" w:lineRule="auto"/>
              <w:ind w:left="0"/>
              <w:jc w:val="left"/>
            </w:pPr>
            <w:r>
              <w:rPr>
                <w:rFonts w:eastAsia="等线" w:ascii="Arial" w:cs="Arial" w:hAnsi="Arial"/>
                <w:sz w:val="22"/>
              </w:rPr>
              <w:t xml:space="preserve">out of stock product </w:t>
            </w:r>
          </w:p>
        </w:tc>
        <w:tc>
          <w:tcPr>
            <w:tcW w:w="430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numPr>
                <w:numId w:val="263"/>
              </w:numPr>
              <w:spacing w:before="120" w:after="120" w:line="288" w:lineRule="auto"/>
              <w:ind w:left="0"/>
              <w:jc w:val="left"/>
            </w:pPr>
            <w:r>
              <w:rPr>
                <w:rFonts w:eastAsia="等线" w:ascii="Arial" w:cs="Arial" w:hAnsi="Arial"/>
                <w:sz w:val="22"/>
              </w:rPr>
              <w:t>back in stock</w:t>
            </w:r>
          </w:p>
        </w:tc>
        <w:tc>
          <w:tcPr>
            <w:tcW w:w="430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left"/>
            </w:pPr>
          </w:p>
        </w:tc>
      </w:tr>
      <w:tr>
        <w:tc>
          <w:tcPr>
            <w:tcW w:w="1680" w:type="dxa"/>
            <w:tcMar>
              <w:top w:type="dxa" w:w="60"/>
              <w:left w:type="dxa" w:w="120"/>
              <w:bottom w:type="dxa" w:w="30"/>
              <w:right w:type="dxa" w:w="120"/>
            </w:tcMar>
          </w:tcPr>
          <w:p>
            <w:pPr>
              <w:numPr>
                <w:numId w:val="264"/>
              </w:numPr>
              <w:spacing w:before="120" w:after="120" w:line="288" w:lineRule="auto"/>
              <w:ind w:left="0"/>
              <w:jc w:val="left"/>
            </w:pPr>
            <w:r>
              <w:rPr>
                <w:rFonts w:eastAsia="等线" w:ascii="Arial" w:cs="Arial" w:hAnsi="Arial"/>
                <w:sz w:val="22"/>
              </w:rPr>
              <w:t>Extra stock</w:t>
            </w:r>
          </w:p>
        </w:tc>
        <w:tc>
          <w:tcPr>
            <w:tcW w:w="430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left"/>
            </w:pPr>
          </w:p>
        </w:tc>
      </w:tr>
    </w:tbl>
    <w:p>
      <w:pPr>
        <w:numPr>
          <w:numId w:val="265"/>
        </w:numPr>
        <w:spacing w:before="120" w:after="120" w:line="288" w:lineRule="auto"/>
        <w:ind w:left="0"/>
        <w:jc w:val="left"/>
      </w:pPr>
      <w:r>
        <w:rPr>
          <w:rFonts w:eastAsia="等线" w:ascii="Arial" w:cs="Arial" w:hAnsi="Arial"/>
          <w:sz w:val="22"/>
        </w:rPr>
        <w:t>Delivery status updates.</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513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Status </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Status sent to whom ? </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Packing </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(eg . Sales representative, Logistics, Management) </w:t>
            </w:r>
          </w:p>
        </w:tc>
      </w:tr>
      <w:tr>
        <w:tc>
          <w:tcPr>
            <w:tcW w:w="1845" w:type="dxa"/>
            <w:tcMar>
              <w:top w:type="dxa" w:w="60"/>
              <w:left w:type="dxa" w:w="120"/>
              <w:bottom w:type="dxa" w:w="30"/>
              <w:right w:type="dxa" w:w="120"/>
            </w:tcMar>
          </w:tcPr>
          <w:p>
            <w:pPr>
              <w:numPr>
                <w:numId w:val="266"/>
              </w:numPr>
              <w:spacing w:before="120" w:after="120" w:line="288" w:lineRule="auto"/>
              <w:ind w:left="0"/>
              <w:jc w:val="left"/>
            </w:pPr>
            <w:r>
              <w:rPr>
                <w:rFonts w:eastAsia="等线" w:ascii="Arial" w:cs="Arial" w:hAnsi="Arial"/>
                <w:sz w:val="22"/>
              </w:rPr>
              <w:t xml:space="preserve">Packed </w:t>
            </w:r>
          </w:p>
        </w:tc>
        <w:tc>
          <w:tcPr>
            <w:tcW w:w="51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numPr>
                <w:numId w:val="267"/>
              </w:numPr>
              <w:spacing w:before="120" w:after="120" w:line="288" w:lineRule="auto"/>
              <w:ind w:left="0"/>
              <w:jc w:val="left"/>
            </w:pPr>
            <w:r>
              <w:rPr>
                <w:rFonts w:eastAsia="等线" w:ascii="Arial" w:cs="Arial" w:hAnsi="Arial"/>
                <w:sz w:val="22"/>
              </w:rPr>
              <w:t xml:space="preserve">Schdeuled </w:t>
            </w:r>
          </w:p>
        </w:tc>
        <w:tc>
          <w:tcPr>
            <w:tcW w:w="51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numPr>
                <w:numId w:val="268"/>
              </w:numPr>
              <w:spacing w:before="120" w:after="120" w:line="288" w:lineRule="auto"/>
              <w:ind w:left="0"/>
              <w:jc w:val="left"/>
            </w:pPr>
            <w:r>
              <w:rPr>
                <w:rFonts w:eastAsia="等线" w:ascii="Arial" w:cs="Arial" w:hAnsi="Arial"/>
                <w:sz w:val="22"/>
              </w:rPr>
              <w:t xml:space="preserve">loading </w:t>
            </w:r>
          </w:p>
        </w:tc>
        <w:tc>
          <w:tcPr>
            <w:tcW w:w="51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numPr>
                <w:numId w:val="269"/>
              </w:numPr>
              <w:spacing w:before="120" w:after="120" w:line="288" w:lineRule="auto"/>
              <w:ind w:left="0"/>
              <w:jc w:val="left"/>
            </w:pPr>
            <w:r>
              <w:rPr>
                <w:rFonts w:eastAsia="等线" w:ascii="Arial" w:cs="Arial" w:hAnsi="Arial"/>
                <w:sz w:val="22"/>
              </w:rPr>
              <w:t>Out for delivery</w:t>
            </w:r>
          </w:p>
        </w:tc>
        <w:tc>
          <w:tcPr>
            <w:tcW w:w="51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numPr>
                <w:numId w:val="270"/>
              </w:numPr>
              <w:spacing w:before="120" w:after="120" w:line="288" w:lineRule="auto"/>
              <w:ind w:left="0"/>
              <w:jc w:val="left"/>
            </w:pPr>
            <w:r>
              <w:rPr>
                <w:rFonts w:eastAsia="等线" w:ascii="Arial" w:cs="Arial" w:hAnsi="Arial"/>
                <w:sz w:val="22"/>
              </w:rPr>
              <w:t xml:space="preserve">Delivered </w:t>
            </w:r>
          </w:p>
        </w:tc>
        <w:tc>
          <w:tcPr>
            <w:tcW w:w="51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453"/>
        <w:jc w:val="left"/>
      </w:pPr>
    </w:p>
    <w:p>
      <w:pPr>
        <w:numPr>
          <w:numId w:val="271"/>
        </w:numPr>
        <w:spacing w:before="120" w:after="120" w:line="288" w:lineRule="auto"/>
        <w:ind w:left="0"/>
        <w:jc w:val="left"/>
      </w:pPr>
      <w:r>
        <w:rPr>
          <w:rFonts w:eastAsia="等线" w:ascii="Arial" w:cs="Arial" w:hAnsi="Arial"/>
          <w:sz w:val="22"/>
        </w:rPr>
        <w:t>Follow-up reminders for quotations.</w:t>
      </w:r>
    </w:p>
    <w:p>
      <w:pPr>
        <w:numPr>
          <w:numId w:val="272"/>
        </w:numPr>
        <w:spacing w:before="120" w:after="120" w:line="288" w:lineRule="auto"/>
        <w:ind w:left="0"/>
        <w:jc w:val="left"/>
      </w:pPr>
      <w:r>
        <w:rPr>
          <w:rFonts w:eastAsia="等线" w:ascii="Arial" w:cs="Arial" w:hAnsi="Arial"/>
          <w:sz w:val="22"/>
        </w:rPr>
        <w:t>Alerts if Sales Order is not converted to DO within 7 days.</w:t>
      </w:r>
    </w:p>
    <w:p>
      <w:pPr>
        <w:numPr>
          <w:numId w:val="273"/>
        </w:numPr>
        <w:spacing w:before="120" w:after="120" w:line="288" w:lineRule="auto"/>
        <w:ind w:left="453"/>
        <w:jc w:val="left"/>
      </w:pPr>
      <w:r>
        <w:rPr>
          <w:rFonts w:eastAsia="等线" w:ascii="Arial" w:cs="Arial" w:hAnsi="Arial"/>
          <w:sz w:val="22"/>
        </w:rPr>
        <w:t>Daily reminders ?</w:t>
      </w:r>
    </w:p>
    <w:p>
      <w:pPr>
        <w:numPr>
          <w:numId w:val="274"/>
        </w:numPr>
        <w:spacing w:before="120" w:after="120" w:line="288" w:lineRule="auto"/>
        <w:ind w:left="0"/>
        <w:jc w:val="left"/>
      </w:pPr>
      <w:r>
        <w:rPr>
          <w:rFonts w:eastAsia="等线" w:ascii="Arial" w:cs="Arial" w:hAnsi="Arial"/>
          <w:sz w:val="22"/>
        </w:rPr>
        <w:t>Customer inactivity reminders (no orders for 30, 60, 90 days).</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258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often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Triggers</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receives notification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it user specific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30 days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 Event or Schedule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eg.Sales agent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 Yes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60 days </w:t>
            </w:r>
          </w:p>
        </w:tc>
        <w:tc>
          <w:tcPr>
            <w:tcW w:w="1500" w:type="dxa"/>
            <w:tcMar>
              <w:top w:type="dxa" w:w="60"/>
              <w:left w:type="dxa" w:w="120"/>
              <w:bottom w:type="dxa" w:w="30"/>
              <w:right w:type="dxa" w:w="120"/>
            </w:tcMar>
          </w:tcPr>
          <w:p>
            <w:pPr>
              <w:spacing w:before="120" w:after="120" w:line="288" w:lineRule="auto"/>
              <w:ind w:left="0"/>
              <w:jc w:val="left"/>
            </w:pPr>
          </w:p>
        </w:tc>
        <w:tc>
          <w:tcPr>
            <w:tcW w:w="258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 days</w:t>
            </w:r>
          </w:p>
        </w:tc>
        <w:tc>
          <w:tcPr>
            <w:tcW w:w="1500" w:type="dxa"/>
            <w:tcMar>
              <w:top w:type="dxa" w:w="60"/>
              <w:left w:type="dxa" w:w="120"/>
              <w:bottom w:type="dxa" w:w="30"/>
              <w:right w:type="dxa" w:w="120"/>
            </w:tcMar>
          </w:tcPr>
          <w:p>
            <w:pPr>
              <w:spacing w:before="120" w:after="120" w:line="288" w:lineRule="auto"/>
              <w:ind w:left="0"/>
              <w:jc w:val="left"/>
            </w:pPr>
          </w:p>
        </w:tc>
        <w:tc>
          <w:tcPr>
            <w:tcW w:w="258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numPr>
          <w:numId w:val="275"/>
        </w:numPr>
        <w:spacing w:before="120" w:after="120" w:line="288" w:lineRule="auto"/>
        <w:ind w:left="0"/>
        <w:jc w:val="left"/>
      </w:pPr>
      <w:r>
        <w:rPr>
          <w:rFonts w:eastAsia="等线" w:ascii="Arial" w:cs="Arial" w:hAnsi="Arial"/>
          <w:sz w:val="22"/>
        </w:rPr>
        <w:t>Outstanding payment reminders</w:t>
      </w:r>
    </w:p>
    <w:p>
      <w:pPr>
        <w:numPr>
          <w:numId w:val="276"/>
        </w:numPr>
        <w:spacing w:before="120" w:after="120" w:line="288" w:lineRule="auto"/>
        <w:ind w:left="453"/>
        <w:jc w:val="left"/>
      </w:pPr>
      <w:r>
        <w:rPr>
          <w:rFonts w:eastAsia="等线" w:ascii="Arial" w:cs="Arial" w:hAnsi="Arial"/>
          <w:sz w:val="22"/>
        </w:rPr>
        <w:t xml:space="preserve">Credit term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020"/>
        <w:gridCol w:w="2475"/>
        <w:gridCol w:w="1695"/>
        <w:gridCol w:w="102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Status </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Triggers </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Scenarios </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receives notification ?</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it User Specific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outstanding payments nearing end of Credit terms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 Event or Schedule</w:t>
            </w:r>
          </w:p>
        </w:tc>
        <w:tc>
          <w:tcPr>
            <w:tcW w:w="247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eg.Sales agent</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Eg. Yes</w:t>
            </w:r>
          </w:p>
        </w:tc>
      </w:tr>
      <w:tr>
        <w:tc>
          <w:tcPr>
            <w:tcW w:w="2070"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2475"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r>
    </w:tbl>
    <w:p>
      <w:pPr>
        <w:numPr>
          <w:numId w:val="277"/>
        </w:numPr>
        <w:spacing w:before="120" w:after="120" w:line="288" w:lineRule="auto"/>
        <w:ind w:left="0"/>
        <w:jc w:val="left"/>
      </w:pPr>
      <w:r>
        <w:rPr>
          <w:rFonts w:eastAsia="等线" w:ascii="Arial" w:cs="Arial" w:hAnsi="Arial"/>
          <w:sz w:val="22"/>
        </w:rPr>
        <w:t>Credit terms and credit limit alerts for customers nearing their deadline and almost exceeding their limit.</w:t>
      </w:r>
    </w:p>
    <w:p>
      <w:pPr>
        <w:numPr>
          <w:numId w:val="278"/>
        </w:numPr>
        <w:spacing w:before="120" w:after="120" w:line="288" w:lineRule="auto"/>
        <w:ind w:left="0"/>
        <w:jc w:val="left"/>
      </w:pPr>
      <w:r>
        <w:rPr>
          <w:rFonts w:eastAsia="等线" w:ascii="Arial" w:cs="Arial" w:hAnsi="Arial"/>
          <w:sz w:val="22"/>
        </w:rPr>
        <w:t>Sales team reminders to send a copy of invoice to customers once delivery is completed (and invoice is not undisputed).</w:t>
      </w:r>
    </w:p>
    <w:p>
      <w:pPr>
        <w:pStyle w:val="2"/>
        <w:spacing w:before="320" w:after="120" w:line="288" w:lineRule="auto"/>
        <w:ind w:left="0"/>
        <w:jc w:val="left"/>
        <w:outlineLvl w:val="1"/>
      </w:pPr>
      <w:bookmarkStart w:name="heading_68" w:id="68"/>
      <w:r>
        <w:rPr>
          <w:rFonts w:eastAsia="等线" w:ascii="Arial" w:cs="Arial" w:hAnsi="Arial"/>
          <w:color w:val="3370ff"/>
          <w:sz w:val="32"/>
        </w:rPr>
        <w:t xml:space="preserve">5.6 </w:t>
      </w:r>
      <w:r>
        <w:rPr>
          <w:rFonts w:eastAsia="等线" w:ascii="Arial" w:cs="Arial" w:hAnsi="Arial"/>
          <w:b w:val="true"/>
          <w:sz w:val="32"/>
        </w:rPr>
        <w:t>Inventory Management (Baseline &amp; Integration)</w:t>
      </w:r>
      <w:bookmarkEnd w:id="68"/>
    </w:p>
    <w:p>
      <w:pPr>
        <w:spacing w:before="120" w:after="120" w:line="288" w:lineRule="auto"/>
        <w:ind w:left="0"/>
        <w:jc w:val="left"/>
      </w:pPr>
      <w:r>
        <w:rPr>
          <w:rFonts w:eastAsia="等线" w:ascii="Arial" w:cs="Arial" w:hAnsi="Arial"/>
          <w:b w:val="true"/>
          <w:sz w:val="22"/>
        </w:rPr>
        <w:t>O</w:t>
      </w:r>
      <w:r>
        <w:rPr>
          <w:rFonts w:eastAsia="等线" w:ascii="Arial" w:cs="Arial" w:hAnsi="Arial"/>
          <w:b w:val="true"/>
          <w:sz w:val="22"/>
        </w:rPr>
        <w:t>bjective:</w:t>
      </w:r>
      <w:r>
        <w:rPr>
          <w:rFonts w:eastAsia="等线" w:ascii="Arial" w:cs="Arial" w:hAnsi="Arial"/>
          <w:sz w:val="22"/>
        </w:rPr>
        <w:t xml:space="preserve"> Ensure accurate stock availability throughout the order-to-fulfillment cycle, while keeping accounting stock authoritative in AutoCount (or integrated systems).</w:t>
      </w:r>
    </w:p>
    <w:p>
      <w:pPr>
        <w:spacing w:before="120" w:after="120" w:line="288" w:lineRule="auto"/>
        <w:ind w:left="0"/>
        <w:jc w:val="left"/>
      </w:pPr>
      <w:r>
        <w:rPr>
          <w:rFonts w:eastAsia="等线" w:ascii="Arial" w:cs="Arial" w:hAnsi="Arial"/>
          <w:b w:val="true"/>
          <w:sz w:val="22"/>
        </w:rPr>
        <w:t>Stock Tracking Steps</w:t>
      </w:r>
    </w:p>
    <w:p>
      <w:pPr>
        <w:numPr>
          <w:numId w:val="279"/>
        </w:numPr>
        <w:spacing w:before="120" w:after="120" w:line="288" w:lineRule="auto"/>
        <w:ind w:left="0"/>
        <w:jc w:val="left"/>
      </w:pPr>
      <w:r>
        <w:rPr>
          <w:rFonts w:eastAsia="等线" w:ascii="Arial" w:cs="Arial" w:hAnsi="Arial"/>
          <w:b w:val="true"/>
          <w:sz w:val="22"/>
        </w:rPr>
        <w:t>SKU Synchronization:</w:t>
      </w:r>
      <w:r>
        <w:rPr>
          <w:rFonts w:eastAsia="等线" w:ascii="Arial" w:cs="Arial" w:hAnsi="Arial"/>
          <w:sz w:val="22"/>
        </w:rPr>
        <w:t xml:space="preserve"> Sync </w:t>
      </w:r>
      <w:r>
        <w:rPr>
          <w:rFonts w:eastAsia="等线" w:ascii="Arial" w:cs="Arial" w:hAnsi="Arial"/>
          <w:b w:val="true"/>
          <w:sz w:val="22"/>
        </w:rPr>
        <w:t>unique SKUs</w:t>
      </w:r>
      <w:r>
        <w:rPr>
          <w:rFonts w:eastAsia="等线" w:ascii="Arial" w:cs="Arial" w:hAnsi="Arial"/>
          <w:sz w:val="22"/>
        </w:rPr>
        <w:t xml:space="preserve"> (catalog/inventory master) from the Warehouse Management System (WMS) or accounting system into MAIA.</w:t>
      </w:r>
    </w:p>
    <w:p>
      <w:pPr>
        <w:numPr>
          <w:numId w:val="280"/>
        </w:numPr>
        <w:spacing w:before="120" w:after="120" w:line="288" w:lineRule="auto"/>
        <w:ind w:left="0"/>
        <w:jc w:val="left"/>
      </w:pPr>
      <w:r>
        <w:rPr>
          <w:rFonts w:eastAsia="等线" w:ascii="Arial" w:cs="Arial" w:hAnsi="Arial"/>
          <w:b w:val="true"/>
          <w:sz w:val="22"/>
        </w:rPr>
        <w:t>Quantity Ownership:</w:t>
      </w:r>
      <w:r>
        <w:rPr>
          <w:rFonts w:eastAsia="等线" w:ascii="Arial" w:cs="Arial" w:hAnsi="Arial"/>
          <w:sz w:val="22"/>
        </w:rPr>
        <w:t xml:space="preserve"> MAIA </w:t>
      </w:r>
      <w:r>
        <w:rPr>
          <w:rFonts w:eastAsia="等线" w:ascii="Arial" w:cs="Arial" w:hAnsi="Arial"/>
          <w:b w:val="true"/>
          <w:sz w:val="22"/>
        </w:rPr>
        <w:t>does not maintain stock count</w:t>
      </w:r>
      <w:r>
        <w:rPr>
          <w:rFonts w:eastAsia="等线" w:ascii="Arial" w:cs="Arial" w:hAnsi="Arial"/>
          <w:sz w:val="22"/>
        </w:rPr>
        <w:t xml:space="preserve"> as the system of record; quantities remain authoritative in AutoCount/WMS.</w:t>
      </w:r>
    </w:p>
    <w:p>
      <w:pPr>
        <w:numPr>
          <w:numId w:val="281"/>
        </w:numPr>
        <w:spacing w:before="120" w:after="120" w:line="288" w:lineRule="auto"/>
        <w:ind w:left="0"/>
        <w:jc w:val="left"/>
      </w:pPr>
      <w:r>
        <w:rPr>
          <w:rFonts w:eastAsia="等线" w:ascii="Arial" w:cs="Arial" w:hAnsi="Arial"/>
          <w:b w:val="true"/>
          <w:sz w:val="22"/>
        </w:rPr>
        <w:t>Real-Time Validation:</w:t>
      </w:r>
      <w:r>
        <w:rPr>
          <w:rFonts w:eastAsia="等线" w:ascii="Arial" w:cs="Arial" w:hAnsi="Arial"/>
          <w:sz w:val="22"/>
        </w:rPr>
        <w:t xml:space="preserve"> During SO/DN creation, MAIA </w:t>
      </w:r>
      <w:r>
        <w:rPr>
          <w:rFonts w:eastAsia="等线" w:ascii="Arial" w:cs="Arial" w:hAnsi="Arial"/>
          <w:b w:val="true"/>
          <w:sz w:val="22"/>
        </w:rPr>
        <w:t>validates stock quantity</w:t>
      </w:r>
      <w:r>
        <w:rPr>
          <w:rFonts w:eastAsia="等线" w:ascii="Arial" w:cs="Arial" w:hAnsi="Arial"/>
          <w:sz w:val="22"/>
        </w:rPr>
        <w:t xml:space="preserve"> against AutoCount (or WMS) to prevent oversell.</w:t>
      </w:r>
    </w:p>
    <w:p>
      <w:pPr>
        <w:numPr>
          <w:numId w:val="282"/>
        </w:numPr>
        <w:spacing w:before="120" w:after="120" w:line="288" w:lineRule="auto"/>
        <w:ind w:left="0"/>
        <w:jc w:val="left"/>
      </w:pPr>
      <w:r>
        <w:rPr>
          <w:rFonts w:eastAsia="等线" w:ascii="Arial" w:cs="Arial" w:hAnsi="Arial"/>
          <w:b w:val="true"/>
          <w:sz w:val="22"/>
        </w:rPr>
        <w:t>Delivery Note Creation:</w:t>
      </w:r>
      <w:r>
        <w:rPr>
          <w:rFonts w:eastAsia="等线" w:ascii="Arial" w:cs="Arial" w:hAnsi="Arial"/>
          <w:sz w:val="22"/>
        </w:rPr>
        <w:t xml:space="preserve"> Delivery note (DO) issuance </w:t>
      </w:r>
      <w:r>
        <w:rPr>
          <w:rFonts w:eastAsia="等线" w:ascii="Arial" w:cs="Arial" w:hAnsi="Arial"/>
          <w:b w:val="true"/>
          <w:sz w:val="22"/>
        </w:rPr>
        <w:t>reflects into AutoCount immediately</w:t>
      </w:r>
      <w:r>
        <w:rPr>
          <w:rFonts w:eastAsia="等线" w:ascii="Arial" w:cs="Arial" w:hAnsi="Arial"/>
          <w:sz w:val="22"/>
        </w:rPr>
        <w:t xml:space="preserve"> (created on the spot) to keep inventory movement aligned.</w:t>
      </w:r>
    </w:p>
    <w:p>
      <w:pPr>
        <w:spacing w:before="120" w:after="120" w:line="288" w:lineRule="auto"/>
        <w:ind w:left="0"/>
        <w:jc w:val="left"/>
      </w:pPr>
      <w:r>
        <w:rPr>
          <w:rFonts w:eastAsia="等线" w:ascii="Arial" w:cs="Arial" w:hAnsi="Arial"/>
          <w:b w:val="true"/>
          <w:sz w:val="22"/>
        </w:rPr>
        <w:t>Notes</w:t>
      </w:r>
    </w:p>
    <w:p>
      <w:pPr>
        <w:numPr>
          <w:numId w:val="283"/>
        </w:numPr>
        <w:spacing w:before="120" w:after="120" w:line="288" w:lineRule="auto"/>
        <w:ind w:left="0"/>
        <w:jc w:val="left"/>
      </w:pPr>
      <w:r>
        <w:rPr>
          <w:rFonts w:eastAsia="等线" w:ascii="Arial" w:cs="Arial" w:hAnsi="Arial"/>
          <w:sz w:val="22"/>
        </w:rPr>
        <w:t xml:space="preserve">Day-to-day </w:t>
      </w:r>
      <w:r>
        <w:rPr>
          <w:rFonts w:eastAsia="等线" w:ascii="Arial" w:cs="Arial" w:hAnsi="Arial"/>
          <w:b w:val="true"/>
          <w:sz w:val="22"/>
        </w:rPr>
        <w:t>stock movements are tracked through orders</w:t>
      </w:r>
      <w:r>
        <w:rPr>
          <w:rFonts w:eastAsia="等线" w:ascii="Arial" w:cs="Arial" w:hAnsi="Arial"/>
          <w:sz w:val="22"/>
        </w:rPr>
        <w:t xml:space="preserve"> in MAIA for operational visibility; </w:t>
      </w:r>
      <w:r>
        <w:rPr>
          <w:rFonts w:eastAsia="等线" w:ascii="Arial" w:cs="Arial" w:hAnsi="Arial"/>
          <w:b w:val="true"/>
          <w:sz w:val="22"/>
        </w:rPr>
        <w:t>replenishment/restock</w:t>
      </w:r>
      <w:r>
        <w:rPr>
          <w:rFonts w:eastAsia="等线" w:ascii="Arial" w:cs="Arial" w:hAnsi="Arial"/>
          <w:sz w:val="22"/>
        </w:rPr>
        <w:t xml:space="preserve"> is </w:t>
      </w:r>
      <w:r>
        <w:rPr>
          <w:rFonts w:eastAsia="等线" w:ascii="Arial" w:cs="Arial" w:hAnsi="Arial"/>
          <w:b w:val="true"/>
          <w:sz w:val="22"/>
        </w:rPr>
        <w:t>performed in AutoCount/WMS</w:t>
      </w:r>
      <w:r>
        <w:rPr>
          <w:rFonts w:eastAsia="等线" w:ascii="Arial" w:cs="Arial" w:hAnsi="Arial"/>
          <w:sz w:val="22"/>
        </w:rPr>
        <w:t xml:space="preserve"> and can be pulled into MAIA via sync.</w:t>
      </w:r>
    </w:p>
    <w:p>
      <w:pPr>
        <w:numPr>
          <w:numId w:val="284"/>
        </w:numPr>
        <w:spacing w:before="120" w:after="120" w:line="288" w:lineRule="auto"/>
        <w:ind w:left="0"/>
        <w:jc w:val="left"/>
      </w:pPr>
      <w:r>
        <w:rPr>
          <w:rFonts w:eastAsia="等线" w:ascii="Arial" w:cs="Arial" w:hAnsi="Arial"/>
          <w:sz w:val="22"/>
        </w:rPr>
        <w:t>Optional enhancements: safety stock rules, low-stock alerts, channel allocation rules, and per-outlet availability displays.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9" w:id="69"/>
      <w:r>
        <w:rPr>
          <w:rFonts w:eastAsia="等线" w:ascii="Arial" w:cs="Arial" w:hAnsi="Arial"/>
          <w:color w:val="3370ff"/>
          <w:sz w:val="36"/>
        </w:rPr>
        <w:t xml:space="preserve">6. </w:t>
      </w:r>
      <w:r>
        <w:rPr>
          <w:rFonts w:eastAsia="等线" w:ascii="Arial" w:cs="Arial" w:hAnsi="Arial"/>
          <w:b w:val="true"/>
          <w:sz w:val="36"/>
        </w:rPr>
        <w:t>Estimated Timelines (Indicative)</w:t>
      </w:r>
      <w:bookmarkEnd w:id="69"/>
    </w:p>
    <w:p>
      <w:pPr>
        <w:numPr>
          <w:numId w:val="285"/>
        </w:numPr>
        <w:spacing w:before="120" w:after="120" w:line="288" w:lineRule="auto"/>
        <w:ind w:left="0"/>
        <w:jc w:val="left"/>
      </w:pPr>
      <w:r>
        <w:rPr>
          <w:rFonts w:eastAsia="等线" w:ascii="Arial" w:cs="Arial" w:hAnsi="Arial"/>
          <w:b w:val="true"/>
          <w:sz w:val="22"/>
        </w:rPr>
        <w:t>Onboarding &amp; Setup</w:t>
      </w:r>
      <w:r>
        <w:rPr>
          <w:rFonts w:eastAsia="等线" w:ascii="Arial" w:cs="Arial" w:hAnsi="Arial"/>
          <w:sz w:val="22"/>
        </w:rPr>
        <w:t>: 2–4 weeks</w:t>
      </w:r>
    </w:p>
    <w:p>
      <w:pPr>
        <w:numPr>
          <w:numId w:val="286"/>
        </w:numPr>
        <w:spacing w:before="120" w:after="120" w:line="288" w:lineRule="auto"/>
        <w:ind w:left="0"/>
        <w:jc w:val="left"/>
      </w:pPr>
      <w:r>
        <w:rPr>
          <w:rFonts w:eastAsia="等线" w:ascii="Arial" w:cs="Arial" w:hAnsi="Arial"/>
          <w:b w:val="true"/>
          <w:sz w:val="22"/>
        </w:rPr>
        <w:t>Configuration &amp; Customisation</w:t>
      </w:r>
      <w:r>
        <w:rPr>
          <w:rFonts w:eastAsia="等线" w:ascii="Arial" w:cs="Arial" w:hAnsi="Arial"/>
          <w:sz w:val="22"/>
        </w:rPr>
        <w:t>: 4–8 weeks (depending on scope)</w:t>
      </w:r>
    </w:p>
    <w:p>
      <w:pPr>
        <w:numPr>
          <w:numId w:val="287"/>
        </w:numPr>
        <w:spacing w:before="120" w:after="120" w:line="288" w:lineRule="auto"/>
        <w:ind w:left="0"/>
        <w:jc w:val="left"/>
      </w:pPr>
      <w:r>
        <w:rPr>
          <w:rFonts w:eastAsia="等线" w:ascii="Arial" w:cs="Arial" w:hAnsi="Arial"/>
          <w:b w:val="true"/>
          <w:sz w:val="22"/>
        </w:rPr>
        <w:t>User Training &amp; UAT</w:t>
      </w:r>
      <w:r>
        <w:rPr>
          <w:rFonts w:eastAsia="等线" w:ascii="Arial" w:cs="Arial" w:hAnsi="Arial"/>
          <w:sz w:val="22"/>
        </w:rPr>
        <w:t>: 2 weeks</w:t>
      </w:r>
    </w:p>
    <w:p>
      <w:pPr>
        <w:numPr>
          <w:numId w:val="288"/>
        </w:numPr>
        <w:spacing w:before="120" w:after="120" w:line="288" w:lineRule="auto"/>
        <w:ind w:left="0"/>
        <w:jc w:val="left"/>
      </w:pPr>
      <w:r>
        <w:rPr>
          <w:rFonts w:eastAsia="等线" w:ascii="Arial" w:cs="Arial" w:hAnsi="Arial"/>
          <w:b w:val="true"/>
          <w:sz w:val="22"/>
        </w:rPr>
        <w:t>Go-Live &amp; Hypercare</w:t>
      </w:r>
      <w:r>
        <w:rPr>
          <w:rFonts w:eastAsia="等线" w:ascii="Arial" w:cs="Arial" w:hAnsi="Arial"/>
          <w:sz w:val="22"/>
        </w:rPr>
        <w:t>: 1–2 weeks</w:t>
        <w:br/>
      </w:r>
      <w:r>
        <w:rPr>
          <w:rFonts w:eastAsia="等线" w:ascii="Arial" w:cs="Arial" w:hAnsi="Arial"/>
          <w:i w:val="true"/>
          <w:sz w:val="22"/>
        </w:rPr>
        <w:t>(These are indicative durations, actual timelines depend on client responsiveness, scope, and complexity.)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0" w:id="70"/>
      <w:r>
        <w:rPr>
          <w:rFonts w:eastAsia="等线" w:ascii="Arial" w:cs="Arial" w:hAnsi="Arial"/>
          <w:color w:val="3370ff"/>
          <w:sz w:val="36"/>
        </w:rPr>
        <w:t xml:space="preserve">7. </w:t>
      </w:r>
      <w:r>
        <w:rPr>
          <w:rFonts w:eastAsia="等线" w:ascii="Arial" w:cs="Arial" w:hAnsi="Arial"/>
          <w:b w:val="true"/>
          <w:sz w:val="36"/>
        </w:rPr>
        <w:t>Commercial Structure</w:t>
      </w:r>
      <w:bookmarkEnd w:id="70"/>
    </w:p>
    <w:p>
      <w:pPr>
        <w:numPr>
          <w:numId w:val="289"/>
        </w:numPr>
        <w:spacing w:before="120" w:after="120" w:line="288" w:lineRule="auto"/>
        <w:ind w:left="0"/>
        <w:jc w:val="left"/>
      </w:pPr>
      <w:r>
        <w:rPr>
          <w:rFonts w:eastAsia="等线" w:ascii="Arial" w:cs="Arial" w:hAnsi="Arial"/>
          <w:b w:val="true"/>
          <w:sz w:val="22"/>
        </w:rPr>
        <w:t>Pricing Model</w:t>
      </w:r>
      <w:r>
        <w:rPr>
          <w:rFonts w:eastAsia="等线" w:ascii="Arial" w:cs="Arial" w:hAnsi="Arial"/>
          <w:sz w:val="22"/>
        </w:rPr>
        <w:t>: Subscription-based (monthly/annual), with tiered pricing (Freemium / Pro / Enterprise)</w:t>
      </w:r>
    </w:p>
    <w:p>
      <w:pPr>
        <w:numPr>
          <w:numId w:val="290"/>
        </w:numPr>
        <w:spacing w:before="120" w:after="120" w:line="288" w:lineRule="auto"/>
        <w:ind w:left="0"/>
        <w:jc w:val="left"/>
      </w:pPr>
      <w:r>
        <w:rPr>
          <w:rFonts w:eastAsia="等线" w:ascii="Arial" w:cs="Arial" w:hAnsi="Arial"/>
          <w:b w:val="true"/>
          <w:sz w:val="22"/>
        </w:rPr>
        <w:t>Customization Fees</w:t>
      </w:r>
      <w:r>
        <w:rPr>
          <w:rFonts w:eastAsia="等线" w:ascii="Arial" w:cs="Arial" w:hAnsi="Arial"/>
          <w:sz w:val="22"/>
        </w:rPr>
        <w:t>: Quoted separately on a time-and-materials or fixed-price basis</w:t>
      </w:r>
    </w:p>
    <w:p>
      <w:pPr>
        <w:numPr>
          <w:numId w:val="291"/>
        </w:numPr>
        <w:spacing w:before="120" w:after="120" w:line="288" w:lineRule="auto"/>
        <w:ind w:left="0"/>
        <w:jc w:val="left"/>
      </w:pPr>
      <w:r>
        <w:rPr>
          <w:rFonts w:eastAsia="等线" w:ascii="Arial" w:cs="Arial" w:hAnsi="Arial"/>
          <w:b w:val="true"/>
          <w:sz w:val="22"/>
        </w:rPr>
        <w:t>Payment Terms</w:t>
      </w:r>
      <w:r>
        <w:rPr>
          <w:rFonts w:eastAsia="等线" w:ascii="Arial" w:cs="Arial" w:hAnsi="Arial"/>
          <w:sz w:val="22"/>
        </w:rPr>
        <w:t>: Net 30 days (unless otherwise agreed)</w:t>
      </w:r>
    </w:p>
    <w:p>
      <w:pPr>
        <w:numPr>
          <w:numId w:val="292"/>
        </w:numPr>
        <w:spacing w:before="120" w:after="120" w:line="288" w:lineRule="auto"/>
        <w:ind w:left="0"/>
        <w:jc w:val="left"/>
      </w:pPr>
      <w:r>
        <w:rPr>
          <w:rFonts w:eastAsia="等线" w:ascii="Arial" w:cs="Arial" w:hAnsi="Arial"/>
          <w:b w:val="true"/>
          <w:sz w:val="22"/>
        </w:rPr>
        <w:t>Renewal &amp; Escalation</w:t>
      </w:r>
      <w:r>
        <w:rPr>
          <w:rFonts w:eastAsia="等线" w:ascii="Arial" w:cs="Arial" w:hAnsi="Arial"/>
          <w:sz w:val="22"/>
        </w:rPr>
        <w:t>: Annual price review, inflationary adjustments, or additional usage-based charges</w:t>
      </w:r>
    </w:p>
    <w:p>
      <w:pPr>
        <w:pStyle w:val="2"/>
        <w:spacing w:before="320" w:after="120" w:line="288" w:lineRule="auto"/>
        <w:ind w:left="0"/>
        <w:jc w:val="left"/>
        <w:outlineLvl w:val="1"/>
      </w:pPr>
      <w:bookmarkStart w:name="heading_71" w:id="71"/>
      <w:r>
        <w:rPr>
          <w:rFonts w:eastAsia="等线" w:ascii="Arial" w:cs="Arial" w:hAnsi="Arial"/>
          <w:color w:val="3370ff"/>
          <w:sz w:val="32"/>
        </w:rPr>
        <w:t xml:space="preserve">7.1 </w:t>
      </w:r>
      <w:r>
        <w:rPr>
          <w:rFonts w:eastAsia="等线" w:ascii="Arial" w:cs="Arial" w:hAnsi="Arial"/>
          <w:b w:val="true"/>
          <w:sz w:val="32"/>
        </w:rPr>
        <w:t>One-off Development Cost</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45"/>
        <w:gridCol w:w="1500"/>
      </w:tblGrid>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r>
      <w:tr>
        <w:tc>
          <w:tcPr>
            <w:tcW w:w="4845" w:type="dxa"/>
            <w:tcMar>
              <w:top w:type="dxa" w:w="60"/>
              <w:left w:type="dxa" w:w="120"/>
              <w:bottom w:type="dxa" w:w="30"/>
              <w:right w:type="dxa" w:w="120"/>
            </w:tcMar>
          </w:tcPr>
          <w:p>
            <w:pPr>
              <w:numPr>
                <w:numId w:val="293"/>
              </w:numPr>
              <w:spacing w:before="120" w:after="120" w:line="288" w:lineRule="auto"/>
              <w:ind w:left="0"/>
              <w:jc w:val="left"/>
            </w:pPr>
            <w:r>
              <w:rPr>
                <w:rFonts w:eastAsia="等线" w:ascii="Arial" w:cs="Arial" w:hAnsi="Arial"/>
                <w:sz w:val="22"/>
              </w:rPr>
              <w:t>MAIA Internal Chatbot</w:t>
            </w:r>
          </w:p>
          <w:p>
            <w:pPr>
              <w:numPr>
                <w:numId w:val="294"/>
              </w:numPr>
              <w:spacing w:before="120" w:after="120" w:line="288" w:lineRule="auto"/>
              <w:ind w:left="0"/>
              <w:jc w:val="left"/>
            </w:pPr>
            <w:r>
              <w:rPr>
                <w:rFonts w:eastAsia="等线" w:ascii="Arial" w:cs="Arial" w:hAnsi="Arial"/>
                <w:sz w:val="22"/>
              </w:rPr>
              <w:t>Customizations:</w:t>
            </w:r>
          </w:p>
          <w:p>
            <w:pPr>
              <w:numPr>
                <w:numId w:val="295"/>
              </w:numPr>
              <w:spacing w:before="120" w:after="120" w:line="288" w:lineRule="auto"/>
              <w:ind w:left="453"/>
              <w:jc w:val="left"/>
            </w:pPr>
            <w:r>
              <w:rPr>
                <w:rFonts w:eastAsia="等线" w:ascii="Arial" w:cs="Arial" w:hAnsi="Arial"/>
                <w:sz w:val="22"/>
              </w:rPr>
              <w:t>Dashboard &amp; Analytics</w:t>
            </w:r>
          </w:p>
          <w:p>
            <w:pPr>
              <w:numPr>
                <w:numId w:val="296"/>
              </w:numPr>
              <w:spacing w:before="120" w:after="120" w:line="288" w:lineRule="auto"/>
              <w:ind w:left="453"/>
              <w:jc w:val="left"/>
            </w:pPr>
            <w:r>
              <w:rPr>
                <w:rFonts w:eastAsia="等线" w:ascii="Arial" w:cs="Arial" w:hAnsi="Arial"/>
                <w:sz w:val="22"/>
              </w:rPr>
              <w:t>Approval Flow</w:t>
            </w:r>
          </w:p>
          <w:p>
            <w:pPr>
              <w:numPr>
                <w:numId w:val="297"/>
              </w:numPr>
              <w:spacing w:before="120" w:after="120" w:line="288" w:lineRule="auto"/>
              <w:ind w:left="453"/>
              <w:jc w:val="left"/>
            </w:pPr>
            <w:r>
              <w:rPr>
                <w:rFonts w:eastAsia="等线" w:ascii="Arial" w:cs="Arial" w:hAnsi="Arial"/>
                <w:sz w:val="22"/>
              </w:rPr>
              <w:t>Payment &amp; Credit Check</w:t>
            </w:r>
          </w:p>
          <w:p>
            <w:pPr>
              <w:numPr>
                <w:numId w:val="298"/>
              </w:numPr>
              <w:spacing w:before="120" w:after="120" w:line="288" w:lineRule="auto"/>
              <w:ind w:left="453"/>
              <w:jc w:val="left"/>
            </w:pPr>
            <w:r>
              <w:rPr>
                <w:rFonts w:eastAsia="等线" w:ascii="Arial" w:cs="Arial" w:hAnsi="Arial"/>
                <w:sz w:val="22"/>
              </w:rPr>
              <w:t>Integration to Lalamove API</w:t>
            </w:r>
          </w:p>
          <w:p>
            <w:pPr>
              <w:numPr>
                <w:numId w:val="299"/>
              </w:numPr>
              <w:spacing w:before="120" w:after="120" w:line="288" w:lineRule="auto"/>
              <w:ind w:left="0"/>
              <w:jc w:val="left"/>
            </w:pPr>
            <w:r>
              <w:rPr>
                <w:rFonts w:eastAsia="等线" w:ascii="Arial" w:cs="Arial" w:hAnsi="Arial"/>
                <w:sz w:val="22"/>
              </w:rPr>
              <w:t>Periodic System and Feature Updates</w:t>
            </w:r>
          </w:p>
          <w:p>
            <w:pPr>
              <w:numPr>
                <w:numId w:val="300"/>
              </w:numPr>
              <w:spacing w:before="120" w:after="120" w:line="288" w:lineRule="auto"/>
              <w:ind w:left="0"/>
              <w:jc w:val="left"/>
            </w:pPr>
            <w:r>
              <w:rPr>
                <w:rFonts w:eastAsia="等线" w:ascii="Arial" w:cs="Arial" w:hAnsi="Arial"/>
                <w:sz w:val="22"/>
              </w:rPr>
              <w:t>Storage, Model Training, Ingestion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48,000</w:t>
            </w:r>
          </w:p>
        </w:tc>
      </w:tr>
    </w:tbl>
    <w:p>
      <w:pPr>
        <w:pStyle w:val="2"/>
        <w:spacing w:before="320" w:after="120" w:line="288" w:lineRule="auto"/>
        <w:ind w:left="0"/>
        <w:jc w:val="left"/>
        <w:outlineLvl w:val="1"/>
      </w:pPr>
      <w:bookmarkStart w:name="heading_72" w:id="72"/>
      <w:r>
        <w:rPr>
          <w:rFonts w:eastAsia="等线" w:ascii="Arial" w:cs="Arial" w:hAnsi="Arial"/>
          <w:color w:val="3370ff"/>
          <w:sz w:val="32"/>
        </w:rPr>
        <w:t xml:space="preserve">7.2 </w:t>
      </w:r>
      <w:r>
        <w:rPr>
          <w:rFonts w:eastAsia="等线" w:ascii="Arial" w:cs="Arial" w:hAnsi="Arial"/>
          <w:b w:val="true"/>
          <w:sz w:val="32"/>
        </w:rPr>
        <w:t>Fixguru's Monthly</w:t>
      </w:r>
      <w:r>
        <w:rPr>
          <w:rFonts w:eastAsia="等线" w:ascii="Arial" w:cs="Arial" w:hAnsi="Arial"/>
          <w:b w:val="true"/>
          <w:sz w:val="32"/>
        </w:rPr>
        <w:t xml:space="preserve"> </w:t>
      </w:r>
      <w:r>
        <w:rPr>
          <w:rFonts w:eastAsia="等线" w:ascii="Arial" w:cs="Arial" w:hAnsi="Arial"/>
          <w:b w:val="true"/>
          <w:sz w:val="32"/>
        </w:rPr>
        <w:t xml:space="preserve">Maintenance </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475"/>
        <w:gridCol w:w="2805"/>
      </w:tblGrid>
      <w:tr>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Item</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Estimated</w:t>
            </w:r>
          </w:p>
        </w:tc>
      </w:tr>
      <w:tr>
        <w:tc>
          <w:tcPr>
            <w:tcW w:w="5475" w:type="dxa"/>
            <w:tcMar>
              <w:top w:type="dxa" w:w="60"/>
              <w:left w:type="dxa" w:w="120"/>
              <w:bottom w:type="dxa" w:w="30"/>
              <w:right w:type="dxa" w:w="120"/>
            </w:tcMar>
          </w:tcPr>
          <w:p>
            <w:pPr>
              <w:numPr>
                <w:numId w:val="301"/>
              </w:numPr>
              <w:spacing w:before="120" w:after="120" w:line="288" w:lineRule="auto"/>
              <w:ind w:left="0"/>
              <w:jc w:val="left"/>
            </w:pPr>
            <w:r>
              <w:rPr>
                <w:rFonts w:eastAsia="等线" w:ascii="Arial" w:cs="Arial" w:hAnsi="Arial"/>
                <w:sz w:val="22"/>
              </w:rPr>
              <w:t>OpenAI cost</w:t>
            </w:r>
          </w:p>
          <w:p>
            <w:pPr>
              <w:numPr>
                <w:numId w:val="302"/>
              </w:numPr>
              <w:spacing w:before="120" w:after="120" w:line="288" w:lineRule="auto"/>
              <w:ind w:left="0"/>
              <w:jc w:val="left"/>
            </w:pPr>
            <w:r>
              <w:rPr>
                <w:rFonts w:eastAsia="等线" w:ascii="Arial" w:cs="Arial" w:hAnsi="Arial"/>
                <w:sz w:val="22"/>
              </w:rPr>
              <w:t>Platform Costs</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RM 1,000</w:t>
            </w:r>
          </w:p>
          <w:p>
            <w:pPr>
              <w:spacing w:before="120" w:after="120" w:line="288" w:lineRule="auto"/>
              <w:ind w:left="0"/>
              <w:jc w:val="left"/>
            </w:pPr>
            <w:r>
              <w:rPr>
                <w:rFonts w:eastAsia="等线" w:ascii="Arial" w:cs="Arial" w:hAnsi="Arial"/>
                <w:i w:val="true"/>
                <w:sz w:val="22"/>
              </w:rPr>
              <w:t>*depending on usage</w:t>
            </w:r>
          </w:p>
        </w:tc>
      </w:tr>
      <w:tr>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 Costs</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200</w:t>
            </w:r>
          </w:p>
        </w:tc>
      </w:tr>
    </w:tbl>
    <w:p>
      <w:pPr>
        <w:pStyle w:val="2"/>
        <w:spacing w:before="320" w:after="120" w:line="288" w:lineRule="auto"/>
        <w:ind w:left="0"/>
        <w:jc w:val="left"/>
        <w:outlineLvl w:val="1"/>
      </w:pPr>
      <w:bookmarkStart w:name="heading_73" w:id="73"/>
      <w:r>
        <w:rPr>
          <w:rFonts w:eastAsia="等线" w:ascii="Arial" w:cs="Arial" w:hAnsi="Arial"/>
          <w:color w:val="3370ff"/>
          <w:sz w:val="32"/>
        </w:rPr>
        <w:t xml:space="preserve">7.3 </w:t>
      </w:r>
      <w:r>
        <w:rPr>
          <w:rFonts w:eastAsia="等线" w:ascii="Arial" w:cs="Arial" w:hAnsi="Arial"/>
          <w:b w:val="true"/>
          <w:sz w:val="32"/>
        </w:rPr>
        <w:t>Payment Terms</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85"/>
        <w:gridCol w:w="1500"/>
        <w:gridCol w:w="2445"/>
      </w:tblGrid>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Percentage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 1 - Project Confirmation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 2 - UAT Completion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4" w:id="74"/>
      <w:r>
        <w:rPr>
          <w:rFonts w:eastAsia="等线" w:ascii="Arial" w:cs="Arial" w:hAnsi="Arial"/>
          <w:color w:val="3370ff"/>
          <w:sz w:val="36"/>
        </w:rPr>
        <w:t xml:space="preserve">8. </w:t>
      </w:r>
      <w:r>
        <w:rPr>
          <w:rFonts w:eastAsia="等线" w:ascii="Arial" w:cs="Arial" w:hAnsi="Arial"/>
          <w:b w:val="true"/>
          <w:sz w:val="36"/>
        </w:rPr>
        <w:t>Caveats &amp; Exclusions</w:t>
      </w:r>
      <w:bookmarkEnd w:id="74"/>
    </w:p>
    <w:p>
      <w:pPr>
        <w:numPr>
          <w:numId w:val="303"/>
        </w:numPr>
        <w:spacing w:before="120" w:after="120" w:line="288" w:lineRule="auto"/>
        <w:ind w:left="0"/>
        <w:jc w:val="left"/>
      </w:pPr>
      <w:r>
        <w:rPr>
          <w:rFonts w:eastAsia="等线" w:ascii="Arial" w:cs="Arial" w:hAnsi="Arial"/>
          <w:b w:val="true"/>
          <w:sz w:val="22"/>
        </w:rPr>
        <w:t>Third-Party Dependencies</w:t>
      </w:r>
      <w:r>
        <w:rPr>
          <w:rFonts w:eastAsia="等线" w:ascii="Arial" w:cs="Arial" w:hAnsi="Arial"/>
          <w:sz w:val="22"/>
        </w:rPr>
        <w:t>: Mindhive not liable for downtime/issues in external platforms (Shopee, Lazada, etc.)</w:t>
      </w:r>
    </w:p>
    <w:p>
      <w:pPr>
        <w:numPr>
          <w:numId w:val="304"/>
        </w:numPr>
        <w:spacing w:before="120" w:after="120" w:line="288" w:lineRule="auto"/>
        <w:ind w:left="0"/>
        <w:jc w:val="left"/>
      </w:pPr>
      <w:r>
        <w:rPr>
          <w:rFonts w:eastAsia="等线" w:ascii="Arial" w:cs="Arial" w:hAnsi="Arial"/>
          <w:b w:val="true"/>
          <w:sz w:val="22"/>
        </w:rPr>
        <w:t>Connectivity</w:t>
      </w:r>
      <w:r>
        <w:rPr>
          <w:rFonts w:eastAsia="等线" w:ascii="Arial" w:cs="Arial" w:hAnsi="Arial"/>
          <w:sz w:val="22"/>
        </w:rPr>
        <w:t>: Client responsible for internet and device readiness</w:t>
      </w:r>
    </w:p>
    <w:p>
      <w:pPr>
        <w:numPr>
          <w:numId w:val="305"/>
        </w:numPr>
        <w:spacing w:before="120" w:after="120" w:line="288" w:lineRule="auto"/>
        <w:ind w:left="0"/>
        <w:jc w:val="left"/>
      </w:pPr>
      <w:r>
        <w:rPr>
          <w:rFonts w:eastAsia="等线" w:ascii="Arial" w:cs="Arial" w:hAnsi="Arial"/>
          <w:b w:val="true"/>
          <w:sz w:val="22"/>
        </w:rPr>
        <w:t>Client-side Integrations</w:t>
      </w:r>
      <w:r>
        <w:rPr>
          <w:rFonts w:eastAsia="等线" w:ascii="Arial" w:cs="Arial" w:hAnsi="Arial"/>
          <w:sz w:val="22"/>
        </w:rPr>
        <w:t>: Any unsupported third-party integrations outside approved scope</w:t>
      </w:r>
    </w:p>
    <w:p>
      <w:pPr>
        <w:numPr>
          <w:numId w:val="306"/>
        </w:numPr>
        <w:spacing w:before="120" w:after="120" w:line="288" w:lineRule="auto"/>
        <w:ind w:left="0"/>
        <w:jc w:val="left"/>
      </w:pPr>
      <w:r>
        <w:rPr>
          <w:rFonts w:eastAsia="等线" w:ascii="Arial" w:cs="Arial" w:hAnsi="Arial"/>
          <w:b w:val="true"/>
          <w:sz w:val="22"/>
        </w:rPr>
        <w:t>Data Accuracy</w:t>
      </w:r>
      <w:r>
        <w:rPr>
          <w:rFonts w:eastAsia="等线" w:ascii="Arial" w:cs="Arial" w:hAnsi="Arial"/>
          <w:sz w:val="22"/>
        </w:rPr>
        <w:t>: Responsibility lies with Client for correctness of provided data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5" w:id="75"/>
      <w:r>
        <w:rPr>
          <w:rFonts w:eastAsia="等线" w:ascii="Arial" w:cs="Arial" w:hAnsi="Arial"/>
          <w:color w:val="3370ff"/>
          <w:sz w:val="36"/>
        </w:rPr>
        <w:t xml:space="preserve">9. </w:t>
      </w:r>
      <w:r>
        <w:rPr>
          <w:rFonts w:eastAsia="等线" w:ascii="Arial" w:cs="Arial" w:hAnsi="Arial"/>
          <w:b w:val="true"/>
          <w:sz w:val="36"/>
        </w:rPr>
        <w:t>Out of Scope</w:t>
      </w:r>
      <w:bookmarkEnd w:id="75"/>
    </w:p>
    <w:p>
      <w:pPr>
        <w:numPr>
          <w:numId w:val="307"/>
        </w:numPr>
        <w:spacing w:before="120" w:after="120" w:line="288" w:lineRule="auto"/>
        <w:ind w:left="0"/>
        <w:jc w:val="left"/>
      </w:pPr>
      <w:r>
        <w:rPr>
          <w:rFonts w:eastAsia="等线" w:ascii="Arial" w:cs="Arial" w:hAnsi="Arial"/>
          <w:sz w:val="22"/>
        </w:rPr>
        <w:t>Hardware procurement or on-premise infrastructure</w:t>
      </w:r>
    </w:p>
    <w:p>
      <w:pPr>
        <w:numPr>
          <w:numId w:val="308"/>
        </w:numPr>
        <w:spacing w:before="120" w:after="120" w:line="288" w:lineRule="auto"/>
        <w:ind w:left="0"/>
        <w:jc w:val="left"/>
      </w:pPr>
      <w:r>
        <w:rPr>
          <w:rFonts w:eastAsia="等线" w:ascii="Arial" w:cs="Arial" w:hAnsi="Arial"/>
          <w:sz w:val="22"/>
        </w:rPr>
        <w:t>Business process re-engineering outside agreed workflows</w:t>
      </w:r>
    </w:p>
    <w:p>
      <w:pPr>
        <w:numPr>
          <w:numId w:val="309"/>
        </w:numPr>
        <w:spacing w:before="120" w:after="120" w:line="288" w:lineRule="auto"/>
        <w:ind w:left="0"/>
        <w:jc w:val="left"/>
      </w:pPr>
      <w:r>
        <w:rPr>
          <w:rFonts w:eastAsia="等线" w:ascii="Arial" w:cs="Arial" w:hAnsi="Arial"/>
          <w:sz w:val="22"/>
        </w:rPr>
        <w:t>Training beyond the agreed initial program</w:t>
      </w:r>
    </w:p>
    <w:p>
      <w:pPr>
        <w:numPr>
          <w:numId w:val="310"/>
        </w:numPr>
        <w:spacing w:before="120" w:after="120" w:line="288" w:lineRule="auto"/>
        <w:ind w:left="0"/>
        <w:jc w:val="left"/>
      </w:pPr>
      <w:r>
        <w:rPr>
          <w:rFonts w:eastAsia="等线" w:ascii="Arial" w:cs="Arial" w:hAnsi="Arial"/>
          <w:sz w:val="22"/>
        </w:rPr>
        <w:t>Ongoing management of third-party accounts unless explicitly contracted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6" w:id="76"/>
      <w:r>
        <w:rPr>
          <w:rFonts w:eastAsia="等线" w:ascii="Arial" w:cs="Arial" w:hAnsi="Arial"/>
          <w:color w:val="3370ff"/>
          <w:sz w:val="36"/>
        </w:rPr>
        <w:t xml:space="preserve">10. </w:t>
      </w:r>
      <w:r>
        <w:rPr>
          <w:rFonts w:eastAsia="等线" w:ascii="Arial" w:cs="Arial" w:hAnsi="Arial"/>
          <w:b w:val="true"/>
          <w:sz w:val="36"/>
        </w:rPr>
        <w:t>Acknowledgement &amp; Agreement</w:t>
      </w:r>
      <w:bookmarkEnd w:id="76"/>
    </w:p>
    <w:p>
      <w:pPr>
        <w:spacing w:before="120" w:after="120" w:line="288" w:lineRule="auto"/>
        <w:ind w:left="0"/>
        <w:jc w:val="left"/>
      </w:pPr>
      <w:r>
        <w:rPr>
          <w:rFonts w:eastAsia="等线" w:ascii="Arial" w:cs="Arial" w:hAnsi="Arial"/>
          <w:sz w:val="22"/>
        </w:rPr>
        <w:t>This document serves as a baseline specification and framework for Maia’s implementation and usage. By signing below, both parties agree to the commitments, responsibilities, and exclusions set out herein.</w:t>
      </w:r>
    </w:p>
    <w:p>
      <w:pPr>
        <w:spacing w:before="120" w:after="120" w:line="288" w:lineRule="auto"/>
        <w:ind w:left="0"/>
        <w:jc w:val="left"/>
      </w:pPr>
      <w:r>
        <w:rPr>
          <w:rFonts w:eastAsia="等线" w:ascii="Arial" w:cs="Arial" w:hAnsi="Arial"/>
          <w:b w:val="true"/>
          <w:sz w:val="22"/>
        </w:rPr>
        <w:t>For Mindhive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r>
        <w:rPr>
          <w:rFonts w:eastAsia="等线" w:ascii="Arial" w:cs="Arial" w:hAnsi="Arial"/>
          <w:b w:val="true"/>
          <w:sz w:val="22"/>
        </w:rPr>
        <w:t>For [Client Name]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752">
    <w:lvl>
      <w:numFmt w:val="bullet"/>
      <w:suff w:val="tab"/>
      <w:lvlText w:val="•"/>
      <w:rPr>
        <w:color w:val="3370ff"/>
      </w:rPr>
    </w:lvl>
  </w:abstractNum>
  <w:abstractNum w:abstractNumId="29753">
    <w:lvl>
      <w:numFmt w:val="bullet"/>
      <w:suff w:val="tab"/>
      <w:lvlText w:val="•"/>
      <w:rPr>
        <w:color w:val="3370ff"/>
      </w:rPr>
    </w:lvl>
  </w:abstractNum>
  <w:abstractNum w:abstractNumId="29754">
    <w:lvl>
      <w:numFmt w:val="bullet"/>
      <w:suff w:val="tab"/>
      <w:lvlText w:val="•"/>
      <w:rPr>
        <w:color w:val="3370ff"/>
      </w:rPr>
    </w:lvl>
  </w:abstractNum>
  <w:abstractNum w:abstractNumId="29755">
    <w:lvl>
      <w:numFmt w:val="bullet"/>
      <w:suff w:val="tab"/>
      <w:lvlText w:val="•"/>
      <w:rPr>
        <w:color w:val="3370ff"/>
      </w:rPr>
    </w:lvl>
  </w:abstractNum>
  <w:abstractNum w:abstractNumId="29756">
    <w:lvl>
      <w:numFmt w:val="bullet"/>
      <w:suff w:val="tab"/>
      <w:lvlText w:val="•"/>
      <w:rPr>
        <w:color w:val="3370ff"/>
      </w:rPr>
    </w:lvl>
  </w:abstractNum>
  <w:abstractNum w:abstractNumId="29757">
    <w:lvl>
      <w:numFmt w:val="bullet"/>
      <w:suff w:val="tab"/>
      <w:lvlText w:val="•"/>
      <w:rPr>
        <w:color w:val="3370ff"/>
      </w:rPr>
    </w:lvl>
  </w:abstractNum>
  <w:abstractNum w:abstractNumId="29758">
    <w:lvl>
      <w:numFmt w:val="bullet"/>
      <w:suff w:val="tab"/>
      <w:lvlText w:val="•"/>
      <w:rPr>
        <w:color w:val="3370ff"/>
      </w:rPr>
    </w:lvl>
  </w:abstractNum>
  <w:abstractNum w:abstractNumId="29759">
    <w:lvl>
      <w:numFmt w:val="bullet"/>
      <w:suff w:val="tab"/>
      <w:lvlText w:val="•"/>
      <w:rPr>
        <w:color w:val="3370ff"/>
      </w:rPr>
    </w:lvl>
  </w:abstractNum>
  <w:abstractNum w:abstractNumId="29760">
    <w:lvl>
      <w:numFmt w:val="bullet"/>
      <w:suff w:val="tab"/>
      <w:lvlText w:val="•"/>
      <w:rPr>
        <w:color w:val="3370ff"/>
      </w:rPr>
    </w:lvl>
  </w:abstractNum>
  <w:abstractNum w:abstractNumId="29761">
    <w:lvl>
      <w:numFmt w:val="bullet"/>
      <w:suff w:val="tab"/>
      <w:lvlText w:val="•"/>
      <w:rPr>
        <w:color w:val="3370ff"/>
      </w:rPr>
    </w:lvl>
  </w:abstractNum>
  <w:abstractNum w:abstractNumId="29762">
    <w:lvl>
      <w:numFmt w:val="bullet"/>
      <w:suff w:val="tab"/>
      <w:lvlText w:val="•"/>
      <w:rPr>
        <w:color w:val="3370ff"/>
      </w:rPr>
    </w:lvl>
  </w:abstractNum>
  <w:abstractNum w:abstractNumId="29763">
    <w:lvl>
      <w:numFmt w:val="bullet"/>
      <w:suff w:val="tab"/>
      <w:lvlText w:val="•"/>
      <w:rPr>
        <w:color w:val="3370ff"/>
      </w:rPr>
    </w:lvl>
  </w:abstractNum>
  <w:abstractNum w:abstractNumId="29764">
    <w:lvl>
      <w:numFmt w:val="bullet"/>
      <w:suff w:val="tab"/>
      <w:lvlText w:val="•"/>
      <w:rPr>
        <w:color w:val="3370ff"/>
      </w:rPr>
    </w:lvl>
  </w:abstractNum>
  <w:abstractNum w:abstractNumId="29765">
    <w:lvl>
      <w:start w:val="1"/>
      <w:numFmt w:val="decimal"/>
      <w:suff w:val="tab"/>
      <w:lvlText w:val="%1."/>
      <w:rPr>
        <w:color w:val="3370ff"/>
      </w:rPr>
    </w:lvl>
  </w:abstractNum>
  <w:abstractNum w:abstractNumId="29766">
    <w:lvl>
      <w:start w:val="2"/>
      <w:numFmt w:val="decimal"/>
      <w:suff w:val="tab"/>
      <w:lvlText w:val="%1."/>
      <w:rPr>
        <w:color w:val="3370ff"/>
      </w:rPr>
    </w:lvl>
  </w:abstractNum>
  <w:abstractNum w:abstractNumId="29767">
    <w:lvl>
      <w:start w:val="3"/>
      <w:numFmt w:val="decimal"/>
      <w:suff w:val="tab"/>
      <w:lvlText w:val="%1."/>
      <w:rPr>
        <w:color w:val="3370ff"/>
      </w:rPr>
    </w:lvl>
  </w:abstractNum>
  <w:abstractNum w:abstractNumId="29768">
    <w:lvl>
      <w:start w:val="4"/>
      <w:numFmt w:val="decimal"/>
      <w:suff w:val="tab"/>
      <w:lvlText w:val="%1."/>
      <w:rPr>
        <w:color w:val="3370ff"/>
      </w:rPr>
    </w:lvl>
  </w:abstractNum>
  <w:abstractNum w:abstractNumId="29769">
    <w:lvl>
      <w:start w:val="5"/>
      <w:numFmt w:val="decimal"/>
      <w:suff w:val="tab"/>
      <w:lvlText w:val="%1."/>
      <w:rPr>
        <w:color w:val="3370ff"/>
      </w:rPr>
    </w:lvl>
  </w:abstractNum>
  <w:abstractNum w:abstractNumId="29770">
    <w:lvl>
      <w:numFmt w:val="bullet"/>
      <w:suff w:val="tab"/>
      <w:lvlText w:val="•"/>
      <w:rPr>
        <w:color w:val="3370ff"/>
      </w:rPr>
    </w:lvl>
  </w:abstractNum>
  <w:abstractNum w:abstractNumId="29771">
    <w:lvl>
      <w:numFmt w:val="bullet"/>
      <w:suff w:val="tab"/>
      <w:lvlText w:val="•"/>
      <w:rPr>
        <w:color w:val="3370ff"/>
      </w:rPr>
    </w:lvl>
  </w:abstractNum>
  <w:abstractNum w:abstractNumId="29772">
    <w:lvl>
      <w:numFmt w:val="bullet"/>
      <w:suff w:val="tab"/>
      <w:lvlText w:val="•"/>
      <w:rPr>
        <w:color w:val="3370ff"/>
      </w:rPr>
    </w:lvl>
  </w:abstractNum>
  <w:abstractNum w:abstractNumId="29773">
    <w:lvl>
      <w:numFmt w:val="bullet"/>
      <w:suff w:val="tab"/>
      <w:lvlText w:val="￮"/>
      <w:rPr>
        <w:color w:val="3370ff"/>
      </w:rPr>
    </w:lvl>
  </w:abstractNum>
  <w:abstractNum w:abstractNumId="29774">
    <w:lvl>
      <w:numFmt w:val="bullet"/>
      <w:suff w:val="tab"/>
      <w:lvlText w:val="￮"/>
      <w:rPr>
        <w:color w:val="3370ff"/>
      </w:rPr>
    </w:lvl>
  </w:abstractNum>
  <w:abstractNum w:abstractNumId="29775">
    <w:lvl>
      <w:numFmt w:val="bullet"/>
      <w:suff w:val="tab"/>
      <w:lvlText w:val="•"/>
      <w:rPr>
        <w:color w:val="3370ff"/>
      </w:rPr>
    </w:lvl>
  </w:abstractNum>
  <w:abstractNum w:abstractNumId="29776">
    <w:lvl>
      <w:numFmt w:val="bullet"/>
      <w:suff w:val="tab"/>
      <w:lvlText w:val="•"/>
      <w:rPr>
        <w:color w:val="3370ff"/>
      </w:rPr>
    </w:lvl>
  </w:abstractNum>
  <w:abstractNum w:abstractNumId="29777">
    <w:lvl>
      <w:numFmt w:val="bullet"/>
      <w:suff w:val="tab"/>
      <w:lvlText w:val="•"/>
      <w:rPr>
        <w:color w:val="3370ff"/>
      </w:rPr>
    </w:lvl>
  </w:abstractNum>
  <w:abstractNum w:abstractNumId="29778">
    <w:lvl>
      <w:numFmt w:val="bullet"/>
      <w:suff w:val="tab"/>
      <w:lvlText w:val="•"/>
      <w:rPr>
        <w:color w:val="3370ff"/>
      </w:rPr>
    </w:lvl>
  </w:abstractNum>
  <w:abstractNum w:abstractNumId="29779">
    <w:lvl>
      <w:numFmt w:val="bullet"/>
      <w:suff w:val="tab"/>
      <w:lvlText w:val="•"/>
      <w:rPr>
        <w:color w:val="3370ff"/>
      </w:rPr>
    </w:lvl>
  </w:abstractNum>
  <w:abstractNum w:abstractNumId="29780">
    <w:lvl>
      <w:numFmt w:val="bullet"/>
      <w:suff w:val="tab"/>
      <w:lvlText w:val="•"/>
      <w:rPr>
        <w:color w:val="3370ff"/>
      </w:rPr>
    </w:lvl>
  </w:abstractNum>
  <w:abstractNum w:abstractNumId="29781">
    <w:lvl>
      <w:numFmt w:val="bullet"/>
      <w:suff w:val="tab"/>
      <w:lvlText w:val="•"/>
      <w:rPr>
        <w:color w:val="3370ff"/>
      </w:rPr>
    </w:lvl>
  </w:abstractNum>
  <w:abstractNum w:abstractNumId="29782">
    <w:lvl>
      <w:numFmt w:val="bullet"/>
      <w:suff w:val="tab"/>
      <w:lvlText w:val="•"/>
      <w:rPr>
        <w:color w:val="3370ff"/>
      </w:rPr>
    </w:lvl>
  </w:abstractNum>
  <w:abstractNum w:abstractNumId="29783">
    <w:lvl>
      <w:numFmt w:val="bullet"/>
      <w:suff w:val="tab"/>
      <w:lvlText w:val="•"/>
      <w:rPr>
        <w:color w:val="3370ff"/>
      </w:rPr>
    </w:lvl>
  </w:abstractNum>
  <w:abstractNum w:abstractNumId="29784">
    <w:lvl>
      <w:numFmt w:val="bullet"/>
      <w:suff w:val="tab"/>
      <w:lvlText w:val="￮"/>
      <w:rPr>
        <w:color w:val="3370ff"/>
      </w:rPr>
    </w:lvl>
  </w:abstractNum>
  <w:abstractNum w:abstractNumId="29785">
    <w:lvl>
      <w:numFmt w:val="bullet"/>
      <w:suff w:val="tab"/>
      <w:lvlText w:val="￮"/>
      <w:rPr>
        <w:color w:val="3370ff"/>
      </w:rPr>
    </w:lvl>
  </w:abstractNum>
  <w:abstractNum w:abstractNumId="29786">
    <w:lvl>
      <w:numFmt w:val="bullet"/>
      <w:suff w:val="tab"/>
      <w:lvlText w:val="•"/>
      <w:rPr>
        <w:color w:val="3370ff"/>
      </w:rPr>
    </w:lvl>
  </w:abstractNum>
  <w:abstractNum w:abstractNumId="29787">
    <w:lvl>
      <w:numFmt w:val="bullet"/>
      <w:suff w:val="tab"/>
      <w:lvlText w:val="•"/>
      <w:rPr>
        <w:color w:val="3370ff"/>
      </w:rPr>
    </w:lvl>
  </w:abstractNum>
  <w:abstractNum w:abstractNumId="29788">
    <w:lvl>
      <w:numFmt w:val="bullet"/>
      <w:suff w:val="tab"/>
      <w:lvlText w:val="•"/>
      <w:rPr>
        <w:color w:val="3370ff"/>
      </w:rPr>
    </w:lvl>
  </w:abstractNum>
  <w:abstractNum w:abstractNumId="29789">
    <w:lvl>
      <w:numFmt w:val="bullet"/>
      <w:suff w:val="tab"/>
      <w:lvlText w:val="•"/>
      <w:rPr>
        <w:color w:val="3370ff"/>
      </w:rPr>
    </w:lvl>
  </w:abstractNum>
  <w:abstractNum w:abstractNumId="29790">
    <w:lvl>
      <w:numFmt w:val="bullet"/>
      <w:suff w:val="tab"/>
      <w:lvlText w:val="•"/>
      <w:rPr>
        <w:color w:val="3370ff"/>
      </w:rPr>
    </w:lvl>
  </w:abstractNum>
  <w:abstractNum w:abstractNumId="29791">
    <w:lvl>
      <w:numFmt w:val="bullet"/>
      <w:suff w:val="tab"/>
      <w:lvlText w:val="•"/>
      <w:rPr>
        <w:color w:val="3370ff"/>
      </w:rPr>
    </w:lvl>
  </w:abstractNum>
  <w:abstractNum w:abstractNumId="29792">
    <w:lvl>
      <w:numFmt w:val="bullet"/>
      <w:suff w:val="tab"/>
      <w:lvlText w:val="•"/>
      <w:rPr>
        <w:color w:val="3370ff"/>
      </w:rPr>
    </w:lvl>
  </w:abstractNum>
  <w:abstractNum w:abstractNumId="29793">
    <w:lvl>
      <w:numFmt w:val="bullet"/>
      <w:suff w:val="tab"/>
      <w:lvlText w:val="•"/>
      <w:rPr>
        <w:color w:val="3370ff"/>
      </w:rPr>
    </w:lvl>
  </w:abstractNum>
  <w:abstractNum w:abstractNumId="29794">
    <w:lvl>
      <w:numFmt w:val="bullet"/>
      <w:suff w:val="tab"/>
      <w:lvlText w:val="•"/>
      <w:rPr>
        <w:color w:val="3370ff"/>
      </w:rPr>
    </w:lvl>
  </w:abstractNum>
  <w:abstractNum w:abstractNumId="29795">
    <w:lvl>
      <w:numFmt w:val="bullet"/>
      <w:suff w:val="tab"/>
      <w:lvlText w:val="•"/>
      <w:rPr>
        <w:color w:val="3370ff"/>
      </w:rPr>
    </w:lvl>
  </w:abstractNum>
  <w:abstractNum w:abstractNumId="29796">
    <w:lvl>
      <w:numFmt w:val="bullet"/>
      <w:suff w:val="tab"/>
      <w:lvlText w:val="￮"/>
      <w:rPr>
        <w:color w:val="3370ff"/>
      </w:rPr>
    </w:lvl>
  </w:abstractNum>
  <w:abstractNum w:abstractNumId="29797">
    <w:lvl>
      <w:numFmt w:val="bullet"/>
      <w:suff w:val="tab"/>
      <w:lvlText w:val="￮"/>
      <w:rPr>
        <w:color w:val="3370ff"/>
      </w:rPr>
    </w:lvl>
  </w:abstractNum>
  <w:abstractNum w:abstractNumId="29798">
    <w:lvl>
      <w:numFmt w:val="bullet"/>
      <w:suff w:val="tab"/>
      <w:lvlText w:val="￮"/>
      <w:rPr>
        <w:color w:val="3370ff"/>
      </w:rPr>
    </w:lvl>
  </w:abstractNum>
  <w:abstractNum w:abstractNumId="29799">
    <w:lvl>
      <w:numFmt w:val="bullet"/>
      <w:suff w:val="tab"/>
      <w:lvlText w:val="￮"/>
      <w:rPr>
        <w:color w:val="3370ff"/>
      </w:rPr>
    </w:lvl>
  </w:abstractNum>
  <w:abstractNum w:abstractNumId="29800">
    <w:lvl>
      <w:numFmt w:val="bullet"/>
      <w:suff w:val="tab"/>
      <w:lvlText w:val="•"/>
      <w:rPr>
        <w:color w:val="3370ff"/>
      </w:rPr>
    </w:lvl>
  </w:abstractNum>
  <w:abstractNum w:abstractNumId="29801">
    <w:lvl>
      <w:numFmt w:val="bullet"/>
      <w:suff w:val="tab"/>
      <w:lvlText w:val="￮"/>
      <w:rPr>
        <w:color w:val="3370ff"/>
      </w:rPr>
    </w:lvl>
  </w:abstractNum>
  <w:abstractNum w:abstractNumId="29802">
    <w:lvl>
      <w:numFmt w:val="bullet"/>
      <w:suff w:val="tab"/>
      <w:lvlText w:val="￮"/>
      <w:rPr>
        <w:color w:val="3370ff"/>
      </w:rPr>
    </w:lvl>
  </w:abstractNum>
  <w:abstractNum w:abstractNumId="29803">
    <w:lvl>
      <w:numFmt w:val="bullet"/>
      <w:suff w:val="tab"/>
      <w:lvlText w:val="•"/>
      <w:rPr>
        <w:color w:val="3370ff"/>
      </w:rPr>
    </w:lvl>
  </w:abstractNum>
  <w:abstractNum w:abstractNumId="29804">
    <w:lvl>
      <w:numFmt w:val="bullet"/>
      <w:suff w:val="tab"/>
      <w:lvlText w:val="•"/>
      <w:rPr>
        <w:color w:val="3370ff"/>
      </w:rPr>
    </w:lvl>
  </w:abstractNum>
  <w:abstractNum w:abstractNumId="29805">
    <w:lvl>
      <w:numFmt w:val="bullet"/>
      <w:suff w:val="tab"/>
      <w:lvlText w:val="￮"/>
      <w:rPr>
        <w:color w:val="3370ff"/>
      </w:rPr>
    </w:lvl>
  </w:abstractNum>
  <w:abstractNum w:abstractNumId="29806">
    <w:lvl>
      <w:numFmt w:val="bullet"/>
      <w:suff w:val="tab"/>
      <w:lvlText w:val="￮"/>
      <w:rPr>
        <w:color w:val="3370ff"/>
      </w:rPr>
    </w:lvl>
  </w:abstractNum>
  <w:abstractNum w:abstractNumId="29807">
    <w:lvl>
      <w:numFmt w:val="bullet"/>
      <w:suff w:val="tab"/>
      <w:lvlText w:val="￮"/>
      <w:rPr>
        <w:color w:val="3370ff"/>
      </w:rPr>
    </w:lvl>
  </w:abstractNum>
  <w:abstractNum w:abstractNumId="29808">
    <w:lvl>
      <w:numFmt w:val="bullet"/>
      <w:suff w:val="tab"/>
      <w:lvlText w:val="•"/>
      <w:rPr>
        <w:color w:val="3370ff"/>
      </w:rPr>
    </w:lvl>
  </w:abstractNum>
  <w:abstractNum w:abstractNumId="29809">
    <w:lvl>
      <w:numFmt w:val="bullet"/>
      <w:suff w:val="tab"/>
      <w:lvlText w:val="•"/>
      <w:rPr>
        <w:color w:val="3370ff"/>
      </w:rPr>
    </w:lvl>
  </w:abstractNum>
  <w:abstractNum w:abstractNumId="29810">
    <w:lvl>
      <w:numFmt w:val="bullet"/>
      <w:suff w:val="tab"/>
      <w:lvlText w:val="•"/>
      <w:rPr>
        <w:color w:val="3370ff"/>
      </w:rPr>
    </w:lvl>
  </w:abstractNum>
  <w:abstractNum w:abstractNumId="29811">
    <w:lvl>
      <w:numFmt w:val="bullet"/>
      <w:suff w:val="tab"/>
      <w:lvlText w:val="•"/>
      <w:rPr>
        <w:color w:val="3370ff"/>
      </w:rPr>
    </w:lvl>
  </w:abstractNum>
  <w:abstractNum w:abstractNumId="29812">
    <w:lvl>
      <w:numFmt w:val="bullet"/>
      <w:suff w:val="tab"/>
      <w:lvlText w:val="•"/>
      <w:rPr>
        <w:color w:val="3370ff"/>
      </w:rPr>
    </w:lvl>
  </w:abstractNum>
  <w:abstractNum w:abstractNumId="29813">
    <w:lvl>
      <w:numFmt w:val="bullet"/>
      <w:suff w:val="tab"/>
      <w:lvlText w:val="•"/>
      <w:rPr>
        <w:color w:val="3370ff"/>
      </w:rPr>
    </w:lvl>
  </w:abstractNum>
  <w:abstractNum w:abstractNumId="29814">
    <w:lvl>
      <w:numFmt w:val="bullet"/>
      <w:suff w:val="tab"/>
      <w:lvlText w:val="•"/>
      <w:rPr>
        <w:color w:val="3370ff"/>
      </w:rPr>
    </w:lvl>
  </w:abstractNum>
  <w:abstractNum w:abstractNumId="29815">
    <w:lvl>
      <w:numFmt w:val="bullet"/>
      <w:suff w:val="tab"/>
      <w:lvlText w:val="￮"/>
      <w:rPr>
        <w:color w:val="3370ff"/>
      </w:rPr>
    </w:lvl>
  </w:abstractNum>
  <w:abstractNum w:abstractNumId="29816">
    <w:lvl>
      <w:numFmt w:val="bullet"/>
      <w:suff w:val="tab"/>
      <w:lvlText w:val="￮"/>
      <w:rPr>
        <w:color w:val="3370ff"/>
      </w:rPr>
    </w:lvl>
  </w:abstractNum>
  <w:abstractNum w:abstractNumId="29817">
    <w:lvl>
      <w:numFmt w:val="bullet"/>
      <w:suff w:val="tab"/>
      <w:lvlText w:val="•"/>
      <w:rPr>
        <w:color w:val="3370ff"/>
      </w:rPr>
    </w:lvl>
  </w:abstractNum>
  <w:abstractNum w:abstractNumId="29818">
    <w:lvl>
      <w:numFmt w:val="bullet"/>
      <w:suff w:val="tab"/>
      <w:lvlText w:val="•"/>
      <w:rPr>
        <w:color w:val="3370ff"/>
      </w:rPr>
    </w:lvl>
  </w:abstractNum>
  <w:abstractNum w:abstractNumId="29819">
    <w:lvl>
      <w:numFmt w:val="bullet"/>
      <w:suff w:val="tab"/>
      <w:lvlText w:val="•"/>
      <w:rPr>
        <w:color w:val="3370ff"/>
      </w:rPr>
    </w:lvl>
  </w:abstractNum>
  <w:abstractNum w:abstractNumId="29820">
    <w:lvl>
      <w:numFmt w:val="bullet"/>
      <w:suff w:val="tab"/>
      <w:lvlText w:val="•"/>
      <w:rPr>
        <w:color w:val="3370ff"/>
      </w:rPr>
    </w:lvl>
  </w:abstractNum>
  <w:abstractNum w:abstractNumId="29821">
    <w:lvl>
      <w:numFmt w:val="bullet"/>
      <w:suff w:val="tab"/>
      <w:lvlText w:val="•"/>
      <w:rPr>
        <w:color w:val="3370ff"/>
      </w:rPr>
    </w:lvl>
  </w:abstractNum>
  <w:abstractNum w:abstractNumId="29822">
    <w:lvl>
      <w:numFmt w:val="bullet"/>
      <w:suff w:val="tab"/>
      <w:lvlText w:val="•"/>
      <w:rPr>
        <w:color w:val="3370ff"/>
      </w:rPr>
    </w:lvl>
  </w:abstractNum>
  <w:abstractNum w:abstractNumId="29823">
    <w:lvl>
      <w:numFmt w:val="bullet"/>
      <w:suff w:val="tab"/>
      <w:lvlText w:val="•"/>
      <w:rPr>
        <w:color w:val="3370ff"/>
      </w:rPr>
    </w:lvl>
  </w:abstractNum>
  <w:abstractNum w:abstractNumId="29824">
    <w:lvl>
      <w:numFmt w:val="bullet"/>
      <w:suff w:val="tab"/>
      <w:lvlText w:val="￮"/>
      <w:rPr>
        <w:color w:val="3370ff"/>
      </w:rPr>
    </w:lvl>
  </w:abstractNum>
  <w:abstractNum w:abstractNumId="29825">
    <w:lvl>
      <w:numFmt w:val="bullet"/>
      <w:suff w:val="tab"/>
      <w:lvlText w:val="￮"/>
      <w:rPr>
        <w:color w:val="3370ff"/>
      </w:rPr>
    </w:lvl>
  </w:abstractNum>
  <w:abstractNum w:abstractNumId="29826">
    <w:lvl>
      <w:numFmt w:val="bullet"/>
      <w:suff w:val="tab"/>
      <w:lvlText w:val="￮"/>
      <w:rPr>
        <w:color w:val="3370ff"/>
      </w:rPr>
    </w:lvl>
  </w:abstractNum>
  <w:abstractNum w:abstractNumId="29827">
    <w:lvl>
      <w:numFmt w:val="bullet"/>
      <w:suff w:val="tab"/>
      <w:lvlText w:val="•"/>
      <w:rPr>
        <w:color w:val="3370ff"/>
      </w:rPr>
    </w:lvl>
  </w:abstractNum>
  <w:abstractNum w:abstractNumId="29828">
    <w:lvl>
      <w:numFmt w:val="bullet"/>
      <w:suff w:val="tab"/>
      <w:lvlText w:val="￮"/>
      <w:rPr>
        <w:color w:val="3370ff"/>
      </w:rPr>
    </w:lvl>
  </w:abstractNum>
  <w:abstractNum w:abstractNumId="29829">
    <w:lvl>
      <w:numFmt w:val="bullet"/>
      <w:suff w:val="tab"/>
      <w:lvlText w:val="￮"/>
      <w:rPr>
        <w:color w:val="3370ff"/>
      </w:rPr>
    </w:lvl>
  </w:abstractNum>
  <w:abstractNum w:abstractNumId="29830">
    <w:lvl>
      <w:numFmt w:val="bullet"/>
      <w:suff w:val="tab"/>
      <w:lvlText w:val="￮"/>
      <w:rPr>
        <w:color w:val="3370ff"/>
      </w:rPr>
    </w:lvl>
  </w:abstractNum>
  <w:abstractNum w:abstractNumId="29831">
    <w:lvl>
      <w:numFmt w:val="bullet"/>
      <w:suff w:val="tab"/>
      <w:lvlText w:val="•"/>
      <w:rPr>
        <w:color w:val="3370ff"/>
      </w:rPr>
    </w:lvl>
  </w:abstractNum>
  <w:abstractNum w:abstractNumId="29832">
    <w:lvl>
      <w:numFmt w:val="bullet"/>
      <w:suff w:val="tab"/>
      <w:lvlText w:val="￮"/>
      <w:rPr>
        <w:color w:val="3370ff"/>
      </w:rPr>
    </w:lvl>
  </w:abstractNum>
  <w:abstractNum w:abstractNumId="29833">
    <w:lvl>
      <w:numFmt w:val="bullet"/>
      <w:suff w:val="tab"/>
      <w:lvlText w:val="￮"/>
      <w:rPr>
        <w:color w:val="3370ff"/>
      </w:rPr>
    </w:lvl>
  </w:abstractNum>
  <w:abstractNum w:abstractNumId="29834">
    <w:lvl>
      <w:numFmt w:val="bullet"/>
      <w:suff w:val="tab"/>
      <w:lvlText w:val="￮"/>
      <w:rPr>
        <w:color w:val="3370ff"/>
      </w:rPr>
    </w:lvl>
  </w:abstractNum>
  <w:abstractNum w:abstractNumId="29835">
    <w:lvl>
      <w:numFmt w:val="bullet"/>
      <w:suff w:val="tab"/>
      <w:lvlText w:val="•"/>
      <w:rPr>
        <w:color w:val="3370ff"/>
      </w:rPr>
    </w:lvl>
  </w:abstractNum>
  <w:abstractNum w:abstractNumId="29836">
    <w:lvl>
      <w:numFmt w:val="bullet"/>
      <w:suff w:val="tab"/>
      <w:lvlText w:val="￮"/>
      <w:rPr>
        <w:color w:val="3370ff"/>
      </w:rPr>
    </w:lvl>
  </w:abstractNum>
  <w:abstractNum w:abstractNumId="29837">
    <w:lvl>
      <w:numFmt w:val="bullet"/>
      <w:suff w:val="tab"/>
      <w:lvlText w:val="￮"/>
      <w:rPr>
        <w:color w:val="3370ff"/>
      </w:rPr>
    </w:lvl>
  </w:abstractNum>
  <w:abstractNum w:abstractNumId="29838">
    <w:lvl>
      <w:numFmt w:val="bullet"/>
      <w:suff w:val="tab"/>
      <w:lvlText w:val="￮"/>
      <w:rPr>
        <w:color w:val="3370ff"/>
      </w:rPr>
    </w:lvl>
  </w:abstractNum>
  <w:abstractNum w:abstractNumId="29839">
    <w:lvl>
      <w:numFmt w:val="bullet"/>
      <w:suff w:val="tab"/>
      <w:lvlText w:val="￮"/>
      <w:rPr>
        <w:color w:val="3370ff"/>
      </w:rPr>
    </w:lvl>
  </w:abstractNum>
  <w:abstractNum w:abstractNumId="29840">
    <w:lvl>
      <w:numFmt w:val="bullet"/>
      <w:suff w:val="tab"/>
      <w:lvlText w:val="•"/>
      <w:rPr>
        <w:color w:val="3370ff"/>
      </w:rPr>
    </w:lvl>
  </w:abstractNum>
  <w:abstractNum w:abstractNumId="29841">
    <w:lvl>
      <w:numFmt w:val="bullet"/>
      <w:suff w:val="tab"/>
      <w:lvlText w:val="￮"/>
      <w:rPr>
        <w:color w:val="3370ff"/>
      </w:rPr>
    </w:lvl>
  </w:abstractNum>
  <w:abstractNum w:abstractNumId="29842">
    <w:lvl>
      <w:numFmt w:val="bullet"/>
      <w:suff w:val="tab"/>
      <w:lvlText w:val="￮"/>
      <w:rPr>
        <w:color w:val="3370ff"/>
      </w:rPr>
    </w:lvl>
  </w:abstractNum>
  <w:abstractNum w:abstractNumId="29843">
    <w:lvl>
      <w:numFmt w:val="bullet"/>
      <w:suff w:val="tab"/>
      <w:lvlText w:val="•"/>
      <w:rPr>
        <w:color w:val="3370ff"/>
      </w:rPr>
    </w:lvl>
  </w:abstractNum>
  <w:abstractNum w:abstractNumId="29844">
    <w:lvl>
      <w:numFmt w:val="bullet"/>
      <w:suff w:val="tab"/>
      <w:lvlText w:val="￮"/>
      <w:rPr>
        <w:color w:val="3370ff"/>
      </w:rPr>
    </w:lvl>
  </w:abstractNum>
  <w:abstractNum w:abstractNumId="29845">
    <w:lvl>
      <w:numFmt w:val="bullet"/>
      <w:suff w:val="tab"/>
      <w:lvlText w:val="￮"/>
      <w:rPr>
        <w:color w:val="3370ff"/>
      </w:rPr>
    </w:lvl>
  </w:abstractNum>
  <w:abstractNum w:abstractNumId="29846">
    <w:lvl>
      <w:numFmt w:val="bullet"/>
      <w:suff w:val="tab"/>
      <w:lvlText w:val="￮"/>
      <w:rPr>
        <w:color w:val="3370ff"/>
      </w:rPr>
    </w:lvl>
  </w:abstractNum>
  <w:abstractNum w:abstractNumId="29847">
    <w:lvl>
      <w:numFmt w:val="bullet"/>
      <w:suff w:val="tab"/>
      <w:lvlText w:val="￮"/>
      <w:rPr>
        <w:color w:val="3370ff"/>
      </w:rPr>
    </w:lvl>
  </w:abstractNum>
  <w:abstractNum w:abstractNumId="29848">
    <w:lvl>
      <w:numFmt w:val="bullet"/>
      <w:suff w:val="tab"/>
      <w:lvlText w:val="￮"/>
      <w:rPr>
        <w:color w:val="3370ff"/>
      </w:rPr>
    </w:lvl>
  </w:abstractNum>
  <w:abstractNum w:abstractNumId="29849">
    <w:lvl>
      <w:numFmt w:val="bullet"/>
      <w:suff w:val="tab"/>
      <w:lvlText w:val="•"/>
      <w:rPr>
        <w:color w:val="3370ff"/>
      </w:rPr>
    </w:lvl>
  </w:abstractNum>
  <w:abstractNum w:abstractNumId="29850">
    <w:lvl>
      <w:numFmt w:val="bullet"/>
      <w:suff w:val="tab"/>
      <w:lvlText w:val="￮"/>
      <w:rPr>
        <w:color w:val="3370ff"/>
      </w:rPr>
    </w:lvl>
  </w:abstractNum>
  <w:abstractNum w:abstractNumId="29851">
    <w:lvl>
      <w:numFmt w:val="bullet"/>
      <w:suff w:val="tab"/>
      <w:lvlText w:val="￮"/>
      <w:rPr>
        <w:color w:val="3370ff"/>
      </w:rPr>
    </w:lvl>
  </w:abstractNum>
  <w:abstractNum w:abstractNumId="29852">
    <w:lvl>
      <w:numFmt w:val="bullet"/>
      <w:suff w:val="tab"/>
      <w:lvlText w:val="￮"/>
      <w:rPr>
        <w:color w:val="3370ff"/>
      </w:rPr>
    </w:lvl>
  </w:abstractNum>
  <w:abstractNum w:abstractNumId="29853">
    <w:lvl>
      <w:numFmt w:val="bullet"/>
      <w:suff w:val="tab"/>
      <w:lvlText w:val="•"/>
      <w:rPr>
        <w:color w:val="3370ff"/>
      </w:rPr>
    </w:lvl>
  </w:abstractNum>
  <w:abstractNum w:abstractNumId="29854">
    <w:lvl>
      <w:numFmt w:val="bullet"/>
      <w:suff w:val="tab"/>
      <w:lvlText w:val="•"/>
      <w:rPr>
        <w:color w:val="3370ff"/>
      </w:rPr>
    </w:lvl>
  </w:abstractNum>
  <w:abstractNum w:abstractNumId="29855">
    <w:lvl>
      <w:numFmt w:val="bullet"/>
      <w:suff w:val="tab"/>
      <w:lvlText w:val="•"/>
      <w:rPr>
        <w:color w:val="3370ff"/>
      </w:rPr>
    </w:lvl>
  </w:abstractNum>
  <w:abstractNum w:abstractNumId="29856">
    <w:lvl>
      <w:numFmt w:val="bullet"/>
      <w:suff w:val="tab"/>
      <w:lvlText w:val="•"/>
      <w:rPr>
        <w:color w:val="3370ff"/>
      </w:rPr>
    </w:lvl>
  </w:abstractNum>
  <w:abstractNum w:abstractNumId="29857">
    <w:lvl>
      <w:numFmt w:val="bullet"/>
      <w:suff w:val="tab"/>
      <w:lvlText w:val="￮"/>
      <w:rPr>
        <w:color w:val="3370ff"/>
      </w:rPr>
    </w:lvl>
  </w:abstractNum>
  <w:abstractNum w:abstractNumId="29858">
    <w:lvl>
      <w:numFmt w:val="bullet"/>
      <w:suff w:val="tab"/>
      <w:lvlText w:val="￮"/>
      <w:rPr>
        <w:color w:val="3370ff"/>
      </w:rPr>
    </w:lvl>
  </w:abstractNum>
  <w:abstractNum w:abstractNumId="29859">
    <w:lvl>
      <w:numFmt w:val="bullet"/>
      <w:suff w:val="tab"/>
      <w:lvlText w:val="￮"/>
      <w:rPr>
        <w:color w:val="3370ff"/>
      </w:rPr>
    </w:lvl>
  </w:abstractNum>
  <w:abstractNum w:abstractNumId="29860">
    <w:lvl>
      <w:numFmt w:val="bullet"/>
      <w:suff w:val="tab"/>
      <w:lvlText w:val="•"/>
      <w:rPr>
        <w:color w:val="3370ff"/>
      </w:rPr>
    </w:lvl>
  </w:abstractNum>
  <w:abstractNum w:abstractNumId="29861">
    <w:lvl>
      <w:numFmt w:val="bullet"/>
      <w:suff w:val="tab"/>
      <w:lvlText w:val="•"/>
      <w:rPr>
        <w:color w:val="3370ff"/>
      </w:rPr>
    </w:lvl>
  </w:abstractNum>
  <w:abstractNum w:abstractNumId="29862">
    <w:lvl>
      <w:numFmt w:val="bullet"/>
      <w:suff w:val="tab"/>
      <w:lvlText w:val="￮"/>
      <w:rPr>
        <w:color w:val="3370ff"/>
      </w:rPr>
    </w:lvl>
  </w:abstractNum>
  <w:abstractNum w:abstractNumId="29863">
    <w:lvl>
      <w:numFmt w:val="bullet"/>
      <w:suff w:val="tab"/>
      <w:lvlText w:val="￮"/>
      <w:rPr>
        <w:color w:val="3370ff"/>
      </w:rPr>
    </w:lvl>
  </w:abstractNum>
  <w:abstractNum w:abstractNumId="29864">
    <w:lvl>
      <w:numFmt w:val="bullet"/>
      <w:suff w:val="tab"/>
      <w:lvlText w:val="▪"/>
      <w:rPr>
        <w:color w:val="3370ff"/>
        <w:sz w:val="11"/>
      </w:rPr>
    </w:lvl>
  </w:abstractNum>
  <w:abstractNum w:abstractNumId="29865">
    <w:lvl>
      <w:numFmt w:val="bullet"/>
      <w:suff w:val="tab"/>
      <w:lvlText w:val="▪"/>
      <w:rPr>
        <w:color w:val="3370ff"/>
        <w:sz w:val="11"/>
      </w:rPr>
    </w:lvl>
  </w:abstractNum>
  <w:abstractNum w:abstractNumId="29866">
    <w:lvl>
      <w:numFmt w:val="bullet"/>
      <w:suff w:val="tab"/>
      <w:lvlText w:val="▪"/>
      <w:rPr>
        <w:color w:val="3370ff"/>
        <w:sz w:val="11"/>
      </w:rPr>
    </w:lvl>
  </w:abstractNum>
  <w:abstractNum w:abstractNumId="29867">
    <w:lvl>
      <w:numFmt w:val="bullet"/>
      <w:suff w:val="tab"/>
      <w:lvlText w:val="￮"/>
      <w:rPr>
        <w:color w:val="3370ff"/>
      </w:rPr>
    </w:lvl>
  </w:abstractNum>
  <w:abstractNum w:abstractNumId="29868">
    <w:lvl>
      <w:numFmt w:val="bullet"/>
      <w:suff w:val="tab"/>
      <w:lvlText w:val="•"/>
      <w:rPr>
        <w:color w:val="3370ff"/>
      </w:rPr>
    </w:lvl>
  </w:abstractNum>
  <w:abstractNum w:abstractNumId="29869">
    <w:lvl>
      <w:numFmt w:val="bullet"/>
      <w:suff w:val="tab"/>
      <w:lvlText w:val="￮"/>
      <w:rPr>
        <w:color w:val="3370ff"/>
      </w:rPr>
    </w:lvl>
  </w:abstractNum>
  <w:abstractNum w:abstractNumId="29870">
    <w:lvl>
      <w:numFmt w:val="bullet"/>
      <w:suff w:val="tab"/>
      <w:lvlText w:val="￮"/>
      <w:rPr>
        <w:color w:val="3370ff"/>
      </w:rPr>
    </w:lvl>
  </w:abstractNum>
  <w:abstractNum w:abstractNumId="29871">
    <w:lvl>
      <w:numFmt w:val="bullet"/>
      <w:suff w:val="tab"/>
      <w:lvlText w:val="▪"/>
      <w:rPr>
        <w:color w:val="3370ff"/>
        <w:sz w:val="11"/>
      </w:rPr>
    </w:lvl>
  </w:abstractNum>
  <w:abstractNum w:abstractNumId="29872">
    <w:lvl>
      <w:numFmt w:val="bullet"/>
      <w:suff w:val="tab"/>
      <w:lvlText w:val="▪"/>
      <w:rPr>
        <w:color w:val="3370ff"/>
        <w:sz w:val="11"/>
      </w:rPr>
    </w:lvl>
  </w:abstractNum>
  <w:abstractNum w:abstractNumId="29873">
    <w:lvl>
      <w:numFmt w:val="bullet"/>
      <w:suff w:val="tab"/>
      <w:lvlText w:val="▪"/>
      <w:rPr>
        <w:color w:val="3370ff"/>
        <w:sz w:val="11"/>
      </w:rPr>
    </w:lvl>
  </w:abstractNum>
  <w:abstractNum w:abstractNumId="29874">
    <w:lvl>
      <w:numFmt w:val="bullet"/>
      <w:suff w:val="tab"/>
      <w:lvlText w:val="▪"/>
      <w:rPr>
        <w:color w:val="3370ff"/>
        <w:sz w:val="11"/>
      </w:rPr>
    </w:lvl>
  </w:abstractNum>
  <w:abstractNum w:abstractNumId="29875">
    <w:lvl>
      <w:numFmt w:val="bullet"/>
      <w:suff w:val="tab"/>
      <w:lvlText w:val="•"/>
      <w:rPr>
        <w:color w:val="3370ff"/>
      </w:rPr>
    </w:lvl>
  </w:abstractNum>
  <w:abstractNum w:abstractNumId="29876">
    <w:lvl>
      <w:numFmt w:val="bullet"/>
      <w:suff w:val="tab"/>
      <w:lvlText w:val="•"/>
      <w:rPr>
        <w:color w:val="3370ff"/>
      </w:rPr>
    </w:lvl>
  </w:abstractNum>
  <w:abstractNum w:abstractNumId="29877">
    <w:lvl>
      <w:numFmt w:val="bullet"/>
      <w:suff w:val="tab"/>
      <w:lvlText w:val="•"/>
      <w:rPr>
        <w:color w:val="3370ff"/>
      </w:rPr>
    </w:lvl>
  </w:abstractNum>
  <w:abstractNum w:abstractNumId="29878">
    <w:lvl>
      <w:numFmt w:val="bullet"/>
      <w:suff w:val="tab"/>
      <w:lvlText w:val="•"/>
      <w:rPr>
        <w:color w:val="3370ff"/>
      </w:rPr>
    </w:lvl>
  </w:abstractNum>
  <w:abstractNum w:abstractNumId="29879">
    <w:lvl>
      <w:numFmt w:val="bullet"/>
      <w:suff w:val="tab"/>
      <w:lvlText w:val="•"/>
      <w:rPr>
        <w:color w:val="3370ff"/>
      </w:rPr>
    </w:lvl>
  </w:abstractNum>
  <w:abstractNum w:abstractNumId="29880">
    <w:lvl>
      <w:numFmt w:val="bullet"/>
      <w:suff w:val="tab"/>
      <w:lvlText w:val="•"/>
      <w:rPr>
        <w:color w:val="3370ff"/>
      </w:rPr>
    </w:lvl>
  </w:abstractNum>
  <w:abstractNum w:abstractNumId="29881">
    <w:lvl>
      <w:numFmt w:val="bullet"/>
      <w:suff w:val="tab"/>
      <w:lvlText w:val="•"/>
      <w:rPr>
        <w:color w:val="3370ff"/>
      </w:rPr>
    </w:lvl>
  </w:abstractNum>
  <w:abstractNum w:abstractNumId="29882">
    <w:lvl>
      <w:numFmt w:val="bullet"/>
      <w:suff w:val="tab"/>
      <w:lvlText w:val="•"/>
      <w:rPr>
        <w:color w:val="3370ff"/>
      </w:rPr>
    </w:lvl>
  </w:abstractNum>
  <w:abstractNum w:abstractNumId="29883">
    <w:lvl>
      <w:numFmt w:val="bullet"/>
      <w:suff w:val="tab"/>
      <w:lvlText w:val="•"/>
      <w:rPr>
        <w:color w:val="3370ff"/>
      </w:rPr>
    </w:lvl>
  </w:abstractNum>
  <w:abstractNum w:abstractNumId="29884">
    <w:lvl>
      <w:numFmt w:val="bullet"/>
      <w:suff w:val="tab"/>
      <w:lvlText w:val="•"/>
      <w:rPr>
        <w:color w:val="3370ff"/>
      </w:rPr>
    </w:lvl>
  </w:abstractNum>
  <w:abstractNum w:abstractNumId="29885">
    <w:lvl>
      <w:numFmt w:val="bullet"/>
      <w:suff w:val="tab"/>
      <w:lvlText w:val="•"/>
      <w:rPr>
        <w:color w:val="3370ff"/>
      </w:rPr>
    </w:lvl>
  </w:abstractNum>
  <w:abstractNum w:abstractNumId="29886">
    <w:lvl>
      <w:numFmt w:val="bullet"/>
      <w:suff w:val="tab"/>
      <w:lvlText w:val="•"/>
      <w:rPr>
        <w:color w:val="3370ff"/>
      </w:rPr>
    </w:lvl>
  </w:abstractNum>
  <w:abstractNum w:abstractNumId="29887">
    <w:lvl>
      <w:numFmt w:val="bullet"/>
      <w:suff w:val="tab"/>
      <w:lvlText w:val="•"/>
      <w:rPr>
        <w:color w:val="3370ff"/>
      </w:rPr>
    </w:lvl>
  </w:abstractNum>
  <w:abstractNum w:abstractNumId="29888">
    <w:lvl>
      <w:numFmt w:val="bullet"/>
      <w:suff w:val="tab"/>
      <w:lvlText w:val="•"/>
      <w:rPr>
        <w:color w:val="3370ff"/>
      </w:rPr>
    </w:lvl>
  </w:abstractNum>
  <w:abstractNum w:abstractNumId="29889">
    <w:lvl>
      <w:numFmt w:val="bullet"/>
      <w:suff w:val="tab"/>
      <w:lvlText w:val="•"/>
      <w:rPr>
        <w:color w:val="3370ff"/>
      </w:rPr>
    </w:lvl>
  </w:abstractNum>
  <w:abstractNum w:abstractNumId="29890">
    <w:lvl>
      <w:numFmt w:val="bullet"/>
      <w:suff w:val="tab"/>
      <w:lvlText w:val="•"/>
      <w:rPr>
        <w:color w:val="3370ff"/>
      </w:rPr>
    </w:lvl>
  </w:abstractNum>
  <w:abstractNum w:abstractNumId="29891">
    <w:lvl>
      <w:numFmt w:val="bullet"/>
      <w:suff w:val="tab"/>
      <w:lvlText w:val="•"/>
      <w:rPr>
        <w:color w:val="3370ff"/>
      </w:rPr>
    </w:lvl>
  </w:abstractNum>
  <w:abstractNum w:abstractNumId="29892">
    <w:lvl>
      <w:numFmt w:val="bullet"/>
      <w:suff w:val="tab"/>
      <w:lvlText w:val="•"/>
      <w:rPr>
        <w:color w:val="3370ff"/>
      </w:rPr>
    </w:lvl>
  </w:abstractNum>
  <w:abstractNum w:abstractNumId="29893">
    <w:lvl>
      <w:numFmt w:val="bullet"/>
      <w:suff w:val="tab"/>
      <w:lvlText w:val="•"/>
      <w:rPr>
        <w:color w:val="3370ff"/>
      </w:rPr>
    </w:lvl>
  </w:abstractNum>
  <w:abstractNum w:abstractNumId="29894">
    <w:lvl>
      <w:numFmt w:val="bullet"/>
      <w:suff w:val="tab"/>
      <w:lvlText w:val="•"/>
      <w:rPr>
        <w:color w:val="3370ff"/>
      </w:rPr>
    </w:lvl>
  </w:abstractNum>
  <w:abstractNum w:abstractNumId="29895">
    <w:lvl>
      <w:numFmt w:val="bullet"/>
      <w:suff w:val="tab"/>
      <w:lvlText w:val="•"/>
      <w:rPr>
        <w:color w:val="3370ff"/>
      </w:rPr>
    </w:lvl>
  </w:abstractNum>
  <w:abstractNum w:abstractNumId="29896">
    <w:lvl>
      <w:numFmt w:val="bullet"/>
      <w:suff w:val="tab"/>
      <w:lvlText w:val="•"/>
      <w:rPr>
        <w:color w:val="3370ff"/>
      </w:rPr>
    </w:lvl>
  </w:abstractNum>
  <w:abstractNum w:abstractNumId="29897">
    <w:lvl>
      <w:numFmt w:val="bullet"/>
      <w:suff w:val="tab"/>
      <w:lvlText w:val="•"/>
      <w:rPr>
        <w:color w:val="3370ff"/>
      </w:rPr>
    </w:lvl>
  </w:abstractNum>
  <w:abstractNum w:abstractNumId="29898">
    <w:lvl>
      <w:numFmt w:val="bullet"/>
      <w:suff w:val="tab"/>
      <w:lvlText w:val="•"/>
      <w:rPr>
        <w:color w:val="3370ff"/>
      </w:rPr>
    </w:lvl>
  </w:abstractNum>
  <w:abstractNum w:abstractNumId="29899">
    <w:lvl>
      <w:numFmt w:val="bullet"/>
      <w:suff w:val="tab"/>
      <w:lvlText w:val="•"/>
      <w:rPr>
        <w:color w:val="3370ff"/>
      </w:rPr>
    </w:lvl>
  </w:abstractNum>
  <w:abstractNum w:abstractNumId="29900">
    <w:lvl>
      <w:numFmt w:val="bullet"/>
      <w:suff w:val="tab"/>
      <w:lvlText w:val="•"/>
      <w:rPr>
        <w:color w:val="3370ff"/>
      </w:rPr>
    </w:lvl>
  </w:abstractNum>
  <w:abstractNum w:abstractNumId="29901">
    <w:lvl>
      <w:numFmt w:val="bullet"/>
      <w:suff w:val="tab"/>
      <w:lvlText w:val="•"/>
      <w:rPr>
        <w:color w:val="3370ff"/>
      </w:rPr>
    </w:lvl>
  </w:abstractNum>
  <w:abstractNum w:abstractNumId="29902">
    <w:lvl>
      <w:numFmt w:val="bullet"/>
      <w:suff w:val="tab"/>
      <w:lvlText w:val="•"/>
      <w:rPr>
        <w:color w:val="3370ff"/>
      </w:rPr>
    </w:lvl>
  </w:abstractNum>
  <w:abstractNum w:abstractNumId="29903">
    <w:lvl>
      <w:numFmt w:val="bullet"/>
      <w:suff w:val="tab"/>
      <w:lvlText w:val="•"/>
      <w:rPr>
        <w:color w:val="3370ff"/>
      </w:rPr>
    </w:lvl>
  </w:abstractNum>
  <w:abstractNum w:abstractNumId="29904">
    <w:lvl>
      <w:numFmt w:val="bullet"/>
      <w:suff w:val="tab"/>
      <w:lvlText w:val="•"/>
      <w:rPr>
        <w:color w:val="3370ff"/>
      </w:rPr>
    </w:lvl>
  </w:abstractNum>
  <w:abstractNum w:abstractNumId="29905">
    <w:lvl>
      <w:numFmt w:val="bullet"/>
      <w:suff w:val="tab"/>
      <w:lvlText w:val="•"/>
      <w:rPr>
        <w:color w:val="3370ff"/>
      </w:rPr>
    </w:lvl>
  </w:abstractNum>
  <w:abstractNum w:abstractNumId="29906">
    <w:lvl>
      <w:numFmt w:val="bullet"/>
      <w:suff w:val="tab"/>
      <w:lvlText w:val="•"/>
      <w:rPr>
        <w:color w:val="3370ff"/>
      </w:rPr>
    </w:lvl>
  </w:abstractNum>
  <w:abstractNum w:abstractNumId="29907">
    <w:lvl>
      <w:numFmt w:val="bullet"/>
      <w:suff w:val="tab"/>
      <w:lvlText w:val="•"/>
      <w:rPr>
        <w:color w:val="3370ff"/>
      </w:rPr>
    </w:lvl>
  </w:abstractNum>
  <w:abstractNum w:abstractNumId="29908">
    <w:lvl>
      <w:numFmt w:val="bullet"/>
      <w:suff w:val="tab"/>
      <w:lvlText w:val="•"/>
      <w:rPr>
        <w:color w:val="3370ff"/>
      </w:rPr>
    </w:lvl>
  </w:abstractNum>
  <w:abstractNum w:abstractNumId="29909">
    <w:lvl>
      <w:numFmt w:val="bullet"/>
      <w:suff w:val="tab"/>
      <w:lvlText w:val="•"/>
      <w:rPr>
        <w:color w:val="3370ff"/>
      </w:rPr>
    </w:lvl>
  </w:abstractNum>
  <w:abstractNum w:abstractNumId="29910">
    <w:lvl>
      <w:numFmt w:val="bullet"/>
      <w:suff w:val="tab"/>
      <w:lvlText w:val="•"/>
      <w:rPr>
        <w:color w:val="3370ff"/>
      </w:rPr>
    </w:lvl>
  </w:abstractNum>
  <w:abstractNum w:abstractNumId="29911">
    <w:lvl>
      <w:numFmt w:val="bullet"/>
      <w:suff w:val="tab"/>
      <w:lvlText w:val="•"/>
      <w:rPr>
        <w:color w:val="3370ff"/>
      </w:rPr>
    </w:lvl>
  </w:abstractNum>
  <w:abstractNum w:abstractNumId="29912">
    <w:lvl>
      <w:numFmt w:val="bullet"/>
      <w:suff w:val="tab"/>
      <w:lvlText w:val="•"/>
      <w:rPr>
        <w:color w:val="3370ff"/>
      </w:rPr>
    </w:lvl>
  </w:abstractNum>
  <w:abstractNum w:abstractNumId="29913">
    <w:lvl>
      <w:numFmt w:val="bullet"/>
      <w:suff w:val="tab"/>
      <w:lvlText w:val="•"/>
      <w:rPr>
        <w:color w:val="3370ff"/>
      </w:rPr>
    </w:lvl>
  </w:abstractNum>
  <w:abstractNum w:abstractNumId="29914">
    <w:lvl>
      <w:numFmt w:val="bullet"/>
      <w:suff w:val="tab"/>
      <w:lvlText w:val="•"/>
      <w:rPr>
        <w:color w:val="3370ff"/>
      </w:rPr>
    </w:lvl>
  </w:abstractNum>
  <w:abstractNum w:abstractNumId="29915">
    <w:lvl>
      <w:numFmt w:val="bullet"/>
      <w:suff w:val="tab"/>
      <w:lvlText w:val="•"/>
      <w:rPr>
        <w:color w:val="3370ff"/>
      </w:rPr>
    </w:lvl>
  </w:abstractNum>
  <w:abstractNum w:abstractNumId="29916">
    <w:lvl>
      <w:numFmt w:val="bullet"/>
      <w:suff w:val="tab"/>
      <w:lvlText w:val="•"/>
      <w:rPr>
        <w:color w:val="3370ff"/>
      </w:rPr>
    </w:lvl>
  </w:abstractNum>
  <w:abstractNum w:abstractNumId="29917">
    <w:lvl>
      <w:numFmt w:val="bullet"/>
      <w:suff w:val="tab"/>
      <w:lvlText w:val="•"/>
      <w:rPr>
        <w:color w:val="3370ff"/>
      </w:rPr>
    </w:lvl>
  </w:abstractNum>
  <w:abstractNum w:abstractNumId="29918">
    <w:lvl>
      <w:numFmt w:val="bullet"/>
      <w:suff w:val="tab"/>
      <w:lvlText w:val="•"/>
      <w:rPr>
        <w:color w:val="3370ff"/>
      </w:rPr>
    </w:lvl>
  </w:abstractNum>
  <w:abstractNum w:abstractNumId="29919">
    <w:lvl>
      <w:numFmt w:val="bullet"/>
      <w:suff w:val="tab"/>
      <w:lvlText w:val="•"/>
      <w:rPr>
        <w:color w:val="3370ff"/>
      </w:rPr>
    </w:lvl>
  </w:abstractNum>
  <w:abstractNum w:abstractNumId="29920">
    <w:lvl>
      <w:numFmt w:val="bullet"/>
      <w:suff w:val="tab"/>
      <w:lvlText w:val="•"/>
      <w:rPr>
        <w:color w:val="3370ff"/>
      </w:rPr>
    </w:lvl>
  </w:abstractNum>
  <w:abstractNum w:abstractNumId="29921">
    <w:lvl>
      <w:numFmt w:val="bullet"/>
      <w:suff w:val="tab"/>
      <w:lvlText w:val="•"/>
      <w:rPr>
        <w:color w:val="3370ff"/>
      </w:rPr>
    </w:lvl>
  </w:abstractNum>
  <w:abstractNum w:abstractNumId="29922">
    <w:lvl>
      <w:numFmt w:val="bullet"/>
      <w:suff w:val="tab"/>
      <w:lvlText w:val="•"/>
      <w:rPr>
        <w:color w:val="3370ff"/>
      </w:rPr>
    </w:lvl>
  </w:abstractNum>
  <w:abstractNum w:abstractNumId="29923">
    <w:lvl>
      <w:numFmt w:val="bullet"/>
      <w:suff w:val="tab"/>
      <w:lvlText w:val="•"/>
      <w:rPr>
        <w:color w:val="3370ff"/>
      </w:rPr>
    </w:lvl>
  </w:abstractNum>
  <w:abstractNum w:abstractNumId="29924">
    <w:lvl>
      <w:numFmt w:val="bullet"/>
      <w:suff w:val="tab"/>
      <w:lvlText w:val="•"/>
      <w:rPr>
        <w:color w:val="3370ff"/>
      </w:rPr>
    </w:lvl>
  </w:abstractNum>
  <w:abstractNum w:abstractNumId="29925">
    <w:lvl>
      <w:numFmt w:val="bullet"/>
      <w:suff w:val="tab"/>
      <w:lvlText w:val="•"/>
      <w:rPr>
        <w:color w:val="3370ff"/>
      </w:rPr>
    </w:lvl>
  </w:abstractNum>
  <w:abstractNum w:abstractNumId="29926">
    <w:lvl>
      <w:numFmt w:val="bullet"/>
      <w:suff w:val="tab"/>
      <w:lvlText w:val="•"/>
      <w:rPr>
        <w:color w:val="3370ff"/>
      </w:rPr>
    </w:lvl>
  </w:abstractNum>
  <w:abstractNum w:abstractNumId="29927">
    <w:lvl>
      <w:numFmt w:val="bullet"/>
      <w:suff w:val="tab"/>
      <w:lvlText w:val="•"/>
      <w:rPr>
        <w:color w:val="3370ff"/>
      </w:rPr>
    </w:lvl>
  </w:abstractNum>
  <w:abstractNum w:abstractNumId="29928">
    <w:lvl>
      <w:numFmt w:val="bullet"/>
      <w:suff w:val="tab"/>
      <w:lvlText w:val="•"/>
      <w:rPr>
        <w:color w:val="3370ff"/>
      </w:rPr>
    </w:lvl>
  </w:abstractNum>
  <w:abstractNum w:abstractNumId="29929">
    <w:lvl>
      <w:numFmt w:val="bullet"/>
      <w:suff w:val="tab"/>
      <w:lvlText w:val="•"/>
      <w:rPr>
        <w:color w:val="3370ff"/>
      </w:rPr>
    </w:lvl>
  </w:abstractNum>
  <w:abstractNum w:abstractNumId="29930">
    <w:lvl>
      <w:numFmt w:val="bullet"/>
      <w:suff w:val="tab"/>
      <w:lvlText w:val="￮"/>
      <w:rPr>
        <w:color w:val="3370ff"/>
      </w:rPr>
    </w:lvl>
  </w:abstractNum>
  <w:abstractNum w:abstractNumId="29931">
    <w:lvl>
      <w:numFmt w:val="bullet"/>
      <w:suff w:val="tab"/>
      <w:lvlText w:val="￮"/>
      <w:rPr>
        <w:color w:val="3370ff"/>
      </w:rPr>
    </w:lvl>
  </w:abstractNum>
  <w:abstractNum w:abstractNumId="29932">
    <w:lvl>
      <w:numFmt w:val="bullet"/>
      <w:suff w:val="tab"/>
      <w:lvlText w:val="￮"/>
      <w:rPr>
        <w:color w:val="3370ff"/>
      </w:rPr>
    </w:lvl>
  </w:abstractNum>
  <w:abstractNum w:abstractNumId="29933">
    <w:lvl>
      <w:numFmt w:val="bullet"/>
      <w:suff w:val="tab"/>
      <w:lvlText w:val="￮"/>
      <w:rPr>
        <w:color w:val="3370ff"/>
      </w:rPr>
    </w:lvl>
  </w:abstractNum>
  <w:abstractNum w:abstractNumId="29934">
    <w:lvl>
      <w:numFmt w:val="bullet"/>
      <w:suff w:val="tab"/>
      <w:lvlText w:val="•"/>
      <w:rPr>
        <w:color w:val="3370ff"/>
      </w:rPr>
    </w:lvl>
  </w:abstractNum>
  <w:abstractNum w:abstractNumId="29935">
    <w:lvl>
      <w:numFmt w:val="bullet"/>
      <w:suff w:val="tab"/>
      <w:lvlText w:val="•"/>
      <w:rPr>
        <w:color w:val="3370ff"/>
      </w:rPr>
    </w:lvl>
  </w:abstractNum>
  <w:abstractNum w:abstractNumId="29936">
    <w:lvl>
      <w:numFmt w:val="bullet"/>
      <w:suff w:val="tab"/>
      <w:lvlText w:val="￮"/>
      <w:rPr>
        <w:color w:val="3370ff"/>
      </w:rPr>
    </w:lvl>
  </w:abstractNum>
  <w:abstractNum w:abstractNumId="29937">
    <w:lvl>
      <w:numFmt w:val="bullet"/>
      <w:suff w:val="tab"/>
      <w:lvlText w:val="￮"/>
      <w:rPr>
        <w:color w:val="3370ff"/>
      </w:rPr>
    </w:lvl>
  </w:abstractNum>
  <w:abstractNum w:abstractNumId="29938">
    <w:lvl>
      <w:numFmt w:val="bullet"/>
      <w:suff w:val="tab"/>
      <w:lvlText w:val="￮"/>
      <w:rPr>
        <w:color w:val="3370ff"/>
      </w:rPr>
    </w:lvl>
  </w:abstractNum>
  <w:abstractNum w:abstractNumId="29939">
    <w:lvl>
      <w:numFmt w:val="bullet"/>
      <w:suff w:val="tab"/>
      <w:lvlText w:val="￮"/>
      <w:rPr>
        <w:color w:val="3370ff"/>
      </w:rPr>
    </w:lvl>
  </w:abstractNum>
  <w:abstractNum w:abstractNumId="29940">
    <w:lvl>
      <w:numFmt w:val="bullet"/>
      <w:suff w:val="tab"/>
      <w:lvlText w:val="•"/>
      <w:rPr>
        <w:color w:val="3370ff"/>
      </w:rPr>
    </w:lvl>
  </w:abstractNum>
  <w:abstractNum w:abstractNumId="29941">
    <w:lvl>
      <w:numFmt w:val="bullet"/>
      <w:suff w:val="tab"/>
      <w:lvlText w:val="￮"/>
      <w:rPr>
        <w:color w:val="3370ff"/>
      </w:rPr>
    </w:lvl>
  </w:abstractNum>
  <w:abstractNum w:abstractNumId="29942">
    <w:lvl>
      <w:numFmt w:val="bullet"/>
      <w:suff w:val="tab"/>
      <w:lvlText w:val="￮"/>
      <w:rPr>
        <w:color w:val="3370ff"/>
      </w:rPr>
    </w:lvl>
  </w:abstractNum>
  <w:abstractNum w:abstractNumId="29943">
    <w:lvl>
      <w:numFmt w:val="bullet"/>
      <w:suff w:val="tab"/>
      <w:lvlText w:val="￮"/>
      <w:rPr>
        <w:color w:val="3370ff"/>
      </w:rPr>
    </w:lvl>
  </w:abstractNum>
  <w:abstractNum w:abstractNumId="29944">
    <w:lvl>
      <w:numFmt w:val="bullet"/>
      <w:suff w:val="tab"/>
      <w:lvlText w:val="•"/>
      <w:rPr>
        <w:color w:val="3370ff"/>
      </w:rPr>
    </w:lvl>
  </w:abstractNum>
  <w:abstractNum w:abstractNumId="29945">
    <w:lvl>
      <w:numFmt w:val="bullet"/>
      <w:suff w:val="tab"/>
      <w:lvlText w:val="•"/>
      <w:rPr>
        <w:color w:val="3370ff"/>
      </w:rPr>
    </w:lvl>
  </w:abstractNum>
  <w:abstractNum w:abstractNumId="29946">
    <w:lvl>
      <w:numFmt w:val="bullet"/>
      <w:suff w:val="tab"/>
      <w:lvlText w:val="•"/>
      <w:rPr>
        <w:color w:val="3370ff"/>
      </w:rPr>
    </w:lvl>
  </w:abstractNum>
  <w:abstractNum w:abstractNumId="29947">
    <w:lvl>
      <w:numFmt w:val="bullet"/>
      <w:suff w:val="tab"/>
      <w:lvlText w:val="•"/>
      <w:rPr>
        <w:color w:val="3370ff"/>
      </w:rPr>
    </w:lvl>
  </w:abstractNum>
  <w:abstractNum w:abstractNumId="29948">
    <w:lvl>
      <w:numFmt w:val="bullet"/>
      <w:suff w:val="tab"/>
      <w:lvlText w:val="•"/>
      <w:rPr>
        <w:color w:val="3370ff"/>
      </w:rPr>
    </w:lvl>
  </w:abstractNum>
  <w:abstractNum w:abstractNumId="29949">
    <w:lvl>
      <w:numFmt w:val="bullet"/>
      <w:suff w:val="tab"/>
      <w:lvlText w:val="•"/>
      <w:rPr>
        <w:color w:val="3370ff"/>
      </w:rPr>
    </w:lvl>
  </w:abstractNum>
  <w:abstractNum w:abstractNumId="29950">
    <w:lvl>
      <w:numFmt w:val="bullet"/>
      <w:suff w:val="tab"/>
      <w:lvlText w:val="•"/>
      <w:rPr>
        <w:color w:val="3370ff"/>
      </w:rPr>
    </w:lvl>
  </w:abstractNum>
  <w:abstractNum w:abstractNumId="29951">
    <w:lvl>
      <w:numFmt w:val="bullet"/>
      <w:suff w:val="tab"/>
      <w:lvlText w:val="•"/>
      <w:rPr>
        <w:color w:val="3370ff"/>
      </w:rPr>
    </w:lvl>
  </w:abstractNum>
  <w:abstractNum w:abstractNumId="29952">
    <w:lvl>
      <w:numFmt w:val="bullet"/>
      <w:suff w:val="tab"/>
      <w:lvlText w:val="•"/>
      <w:rPr>
        <w:color w:val="3370ff"/>
      </w:rPr>
    </w:lvl>
  </w:abstractNum>
  <w:abstractNum w:abstractNumId="29953">
    <w:lvl>
      <w:numFmt w:val="bullet"/>
      <w:suff w:val="tab"/>
      <w:lvlText w:val="•"/>
      <w:rPr>
        <w:color w:val="3370ff"/>
      </w:rPr>
    </w:lvl>
  </w:abstractNum>
  <w:abstractNum w:abstractNumId="29954">
    <w:lvl>
      <w:numFmt w:val="bullet"/>
      <w:suff w:val="tab"/>
      <w:lvlText w:val="•"/>
      <w:rPr>
        <w:color w:val="3370ff"/>
      </w:rPr>
    </w:lvl>
  </w:abstractNum>
  <w:abstractNum w:abstractNumId="29955">
    <w:lvl>
      <w:numFmt w:val="bullet"/>
      <w:suff w:val="tab"/>
      <w:lvlText w:val="•"/>
      <w:rPr>
        <w:color w:val="3370ff"/>
      </w:rPr>
    </w:lvl>
  </w:abstractNum>
  <w:abstractNum w:abstractNumId="29956">
    <w:lvl>
      <w:numFmt w:val="bullet"/>
      <w:suff w:val="tab"/>
      <w:lvlText w:val="•"/>
      <w:rPr>
        <w:color w:val="3370ff"/>
      </w:rPr>
    </w:lvl>
  </w:abstractNum>
  <w:abstractNum w:abstractNumId="29957">
    <w:lvl>
      <w:numFmt w:val="bullet"/>
      <w:suff w:val="tab"/>
      <w:lvlText w:val="•"/>
      <w:rPr>
        <w:color w:val="3370ff"/>
      </w:rPr>
    </w:lvl>
  </w:abstractNum>
  <w:abstractNum w:abstractNumId="29958">
    <w:lvl>
      <w:numFmt w:val="bullet"/>
      <w:suff w:val="tab"/>
      <w:lvlText w:val="￮"/>
      <w:rPr>
        <w:color w:val="3370ff"/>
      </w:rPr>
    </w:lvl>
  </w:abstractNum>
  <w:abstractNum w:abstractNumId="29959">
    <w:lvl>
      <w:numFmt w:val="bullet"/>
      <w:suff w:val="tab"/>
      <w:lvlText w:val="￮"/>
      <w:rPr>
        <w:color w:val="3370ff"/>
      </w:rPr>
    </w:lvl>
  </w:abstractNum>
  <w:abstractNum w:abstractNumId="29960">
    <w:lvl>
      <w:numFmt w:val="bullet"/>
      <w:suff w:val="tab"/>
      <w:lvlText w:val="￮"/>
      <w:rPr>
        <w:color w:val="3370ff"/>
      </w:rPr>
    </w:lvl>
  </w:abstractNum>
  <w:abstractNum w:abstractNumId="29961">
    <w:lvl>
      <w:numFmt w:val="bullet"/>
      <w:suff w:val="tab"/>
      <w:lvlText w:val="•"/>
      <w:rPr>
        <w:color w:val="3370ff"/>
      </w:rPr>
    </w:lvl>
  </w:abstractNum>
  <w:abstractNum w:abstractNumId="29962">
    <w:lvl>
      <w:numFmt w:val="bullet"/>
      <w:suff w:val="tab"/>
      <w:lvlText w:val="•"/>
      <w:rPr>
        <w:color w:val="3370ff"/>
      </w:rPr>
    </w:lvl>
  </w:abstractNum>
  <w:abstractNum w:abstractNumId="29963">
    <w:lvl>
      <w:numFmt w:val="bullet"/>
      <w:suff w:val="tab"/>
      <w:lvlText w:val="•"/>
      <w:rPr>
        <w:color w:val="3370ff"/>
      </w:rPr>
    </w:lvl>
  </w:abstractNum>
  <w:abstractNum w:abstractNumId="29964">
    <w:lvl>
      <w:numFmt w:val="bullet"/>
      <w:suff w:val="tab"/>
      <w:lvlText w:val="•"/>
      <w:rPr>
        <w:color w:val="3370ff"/>
      </w:rPr>
    </w:lvl>
  </w:abstractNum>
  <w:abstractNum w:abstractNumId="29965">
    <w:lvl>
      <w:numFmt w:val="bullet"/>
      <w:suff w:val="tab"/>
      <w:lvlText w:val="•"/>
      <w:rPr>
        <w:color w:val="3370ff"/>
      </w:rPr>
    </w:lvl>
  </w:abstractNum>
  <w:abstractNum w:abstractNumId="29966">
    <w:lvl>
      <w:numFmt w:val="bullet"/>
      <w:suff w:val="tab"/>
      <w:lvlText w:val="•"/>
      <w:rPr>
        <w:color w:val="3370ff"/>
      </w:rPr>
    </w:lvl>
  </w:abstractNum>
  <w:abstractNum w:abstractNumId="29967">
    <w:lvl>
      <w:numFmt w:val="bullet"/>
      <w:suff w:val="tab"/>
      <w:lvlText w:val="•"/>
      <w:rPr>
        <w:color w:val="3370ff"/>
      </w:rPr>
    </w:lvl>
  </w:abstractNum>
  <w:abstractNum w:abstractNumId="29968">
    <w:lvl>
      <w:numFmt w:val="bullet"/>
      <w:suff w:val="tab"/>
      <w:lvlText w:val="•"/>
      <w:rPr>
        <w:color w:val="3370ff"/>
      </w:rPr>
    </w:lvl>
  </w:abstractNum>
  <w:abstractNum w:abstractNumId="29969">
    <w:lvl>
      <w:numFmt w:val="bullet"/>
      <w:suff w:val="tab"/>
      <w:lvlText w:val="•"/>
      <w:rPr>
        <w:color w:val="3370ff"/>
      </w:rPr>
    </w:lvl>
  </w:abstractNum>
  <w:abstractNum w:abstractNumId="29970">
    <w:lvl>
      <w:numFmt w:val="bullet"/>
      <w:suff w:val="tab"/>
      <w:lvlText w:val="•"/>
      <w:rPr>
        <w:color w:val="3370ff"/>
      </w:rPr>
    </w:lvl>
  </w:abstractNum>
  <w:abstractNum w:abstractNumId="29971">
    <w:lvl>
      <w:numFmt w:val="bullet"/>
      <w:suff w:val="tab"/>
      <w:lvlText w:val="•"/>
      <w:rPr>
        <w:color w:val="3370ff"/>
      </w:rPr>
    </w:lvl>
  </w:abstractNum>
  <w:abstractNum w:abstractNumId="29972">
    <w:lvl>
      <w:numFmt w:val="bullet"/>
      <w:suff w:val="tab"/>
      <w:lvlText w:val="•"/>
      <w:rPr>
        <w:color w:val="3370ff"/>
      </w:rPr>
    </w:lvl>
  </w:abstractNum>
  <w:abstractNum w:abstractNumId="29973">
    <w:lvl>
      <w:numFmt w:val="bullet"/>
      <w:suff w:val="tab"/>
      <w:lvlText w:val="•"/>
      <w:rPr>
        <w:color w:val="3370ff"/>
      </w:rPr>
    </w:lvl>
  </w:abstractNum>
  <w:abstractNum w:abstractNumId="29974">
    <w:lvl>
      <w:numFmt w:val="bullet"/>
      <w:suff w:val="tab"/>
      <w:lvlText w:val="•"/>
      <w:rPr>
        <w:color w:val="3370ff"/>
      </w:rPr>
    </w:lvl>
  </w:abstractNum>
  <w:abstractNum w:abstractNumId="29975">
    <w:lvl>
      <w:numFmt w:val="bullet"/>
      <w:suff w:val="tab"/>
      <w:lvlText w:val="•"/>
      <w:rPr>
        <w:color w:val="3370ff"/>
      </w:rPr>
    </w:lvl>
  </w:abstractNum>
  <w:abstractNum w:abstractNumId="29976">
    <w:lvl>
      <w:numFmt w:val="bullet"/>
      <w:suff w:val="tab"/>
      <w:lvlText w:val="•"/>
      <w:rPr>
        <w:color w:val="3370ff"/>
      </w:rPr>
    </w:lvl>
  </w:abstractNum>
  <w:abstractNum w:abstractNumId="29977">
    <w:lvl>
      <w:numFmt w:val="bullet"/>
      <w:suff w:val="tab"/>
      <w:lvlText w:val="•"/>
      <w:rPr>
        <w:color w:val="3370ff"/>
      </w:rPr>
    </w:lvl>
  </w:abstractNum>
  <w:abstractNum w:abstractNumId="29978">
    <w:lvl>
      <w:numFmt w:val="bullet"/>
      <w:suff w:val="tab"/>
      <w:lvlText w:val="•"/>
      <w:rPr>
        <w:color w:val="3370ff"/>
      </w:rPr>
    </w:lvl>
  </w:abstractNum>
  <w:abstractNum w:abstractNumId="29979">
    <w:lvl>
      <w:numFmt w:val="bullet"/>
      <w:suff w:val="tab"/>
      <w:lvlText w:val="•"/>
      <w:rPr>
        <w:color w:val="3370ff"/>
      </w:rPr>
    </w:lvl>
  </w:abstractNum>
  <w:abstractNum w:abstractNumId="29980">
    <w:lvl>
      <w:numFmt w:val="bullet"/>
      <w:suff w:val="tab"/>
      <w:lvlText w:val="￮"/>
      <w:rPr>
        <w:color w:val="3370ff"/>
      </w:rPr>
    </w:lvl>
  </w:abstractNum>
  <w:abstractNum w:abstractNumId="29981">
    <w:lvl>
      <w:numFmt w:val="bullet"/>
      <w:suff w:val="tab"/>
      <w:lvlText w:val="￮"/>
      <w:rPr>
        <w:color w:val="3370ff"/>
      </w:rPr>
    </w:lvl>
  </w:abstractNum>
  <w:abstractNum w:abstractNumId="29982">
    <w:lvl>
      <w:numFmt w:val="bullet"/>
      <w:suff w:val="tab"/>
      <w:lvlText w:val="•"/>
      <w:rPr>
        <w:color w:val="3370ff"/>
      </w:rPr>
    </w:lvl>
  </w:abstractNum>
  <w:abstractNum w:abstractNumId="29983">
    <w:lvl>
      <w:numFmt w:val="bullet"/>
      <w:suff w:val="tab"/>
      <w:lvlText w:val="•"/>
      <w:rPr>
        <w:color w:val="3370ff"/>
      </w:rPr>
    </w:lvl>
  </w:abstractNum>
  <w:abstractNum w:abstractNumId="29984">
    <w:lvl>
      <w:numFmt w:val="bullet"/>
      <w:suff w:val="tab"/>
      <w:lvlText w:val="•"/>
      <w:rPr>
        <w:color w:val="3370ff"/>
      </w:rPr>
    </w:lvl>
  </w:abstractNum>
  <w:abstractNum w:abstractNumId="29985">
    <w:lvl>
      <w:numFmt w:val="bullet"/>
      <w:suff w:val="tab"/>
      <w:lvlText w:val="•"/>
      <w:rPr>
        <w:color w:val="3370ff"/>
      </w:rPr>
    </w:lvl>
  </w:abstractNum>
  <w:abstractNum w:abstractNumId="29986">
    <w:lvl>
      <w:numFmt w:val="bullet"/>
      <w:suff w:val="tab"/>
      <w:lvlText w:val="•"/>
      <w:rPr>
        <w:color w:val="3370ff"/>
      </w:rPr>
    </w:lvl>
  </w:abstractNum>
  <w:abstractNum w:abstractNumId="29987">
    <w:lvl>
      <w:numFmt w:val="bullet"/>
      <w:suff w:val="tab"/>
      <w:lvlText w:val="•"/>
      <w:rPr>
        <w:color w:val="3370ff"/>
      </w:rPr>
    </w:lvl>
  </w:abstractNum>
  <w:abstractNum w:abstractNumId="29988">
    <w:lvl>
      <w:numFmt w:val="bullet"/>
      <w:suff w:val="tab"/>
      <w:lvlText w:val="•"/>
      <w:rPr>
        <w:color w:val="3370ff"/>
      </w:rPr>
    </w:lvl>
  </w:abstractNum>
  <w:abstractNum w:abstractNumId="29989">
    <w:lvl>
      <w:numFmt w:val="bullet"/>
      <w:suff w:val="tab"/>
      <w:lvlText w:val="•"/>
      <w:rPr>
        <w:color w:val="3370ff"/>
      </w:rPr>
    </w:lvl>
  </w:abstractNum>
  <w:abstractNum w:abstractNumId="29990">
    <w:lvl>
      <w:numFmt w:val="bullet"/>
      <w:suff w:val="tab"/>
      <w:lvlText w:val="•"/>
      <w:rPr>
        <w:color w:val="3370ff"/>
      </w:rPr>
    </w:lvl>
  </w:abstractNum>
  <w:abstractNum w:abstractNumId="29991">
    <w:lvl>
      <w:numFmt w:val="bullet"/>
      <w:suff w:val="tab"/>
      <w:lvlText w:val="￮"/>
      <w:rPr>
        <w:color w:val="3370ff"/>
      </w:rPr>
    </w:lvl>
  </w:abstractNum>
  <w:abstractNum w:abstractNumId="29992">
    <w:lvl>
      <w:numFmt w:val="bullet"/>
      <w:suff w:val="tab"/>
      <w:lvlText w:val="•"/>
      <w:rPr>
        <w:color w:val="3370ff"/>
      </w:rPr>
    </w:lvl>
  </w:abstractNum>
  <w:abstractNum w:abstractNumId="29993">
    <w:lvl>
      <w:numFmt w:val="bullet"/>
      <w:suff w:val="tab"/>
      <w:lvlText w:val="￮"/>
      <w:rPr>
        <w:color w:val="3370ff"/>
      </w:rPr>
    </w:lvl>
  </w:abstractNum>
  <w:abstractNum w:abstractNumId="29994">
    <w:lvl>
      <w:numFmt w:val="bullet"/>
      <w:suff w:val="tab"/>
      <w:lvlText w:val="￮"/>
      <w:rPr>
        <w:color w:val="3370ff"/>
      </w:rPr>
    </w:lvl>
  </w:abstractNum>
  <w:abstractNum w:abstractNumId="29995">
    <w:lvl>
      <w:numFmt w:val="bullet"/>
      <w:suff w:val="tab"/>
      <w:lvlText w:val="•"/>
      <w:rPr>
        <w:color w:val="3370ff"/>
      </w:rPr>
    </w:lvl>
  </w:abstractNum>
  <w:abstractNum w:abstractNumId="29996">
    <w:lvl>
      <w:numFmt w:val="bullet"/>
      <w:suff w:val="tab"/>
      <w:lvlText w:val="•"/>
      <w:rPr>
        <w:color w:val="3370ff"/>
      </w:rPr>
    </w:lvl>
  </w:abstractNum>
  <w:abstractNum w:abstractNumId="29997">
    <w:lvl>
      <w:numFmt w:val="bullet"/>
      <w:suff w:val="tab"/>
      <w:lvlText w:val="•"/>
      <w:rPr>
        <w:color w:val="3370ff"/>
      </w:rPr>
    </w:lvl>
  </w:abstractNum>
  <w:abstractNum w:abstractNumId="29998">
    <w:lvl>
      <w:numFmt w:val="bullet"/>
      <w:suff w:val="tab"/>
      <w:lvlText w:val="•"/>
      <w:rPr>
        <w:color w:val="3370ff"/>
      </w:rPr>
    </w:lvl>
  </w:abstractNum>
  <w:abstractNum w:abstractNumId="29999">
    <w:lvl>
      <w:numFmt w:val="bullet"/>
      <w:suff w:val="tab"/>
      <w:lvlText w:val="•"/>
      <w:rPr>
        <w:color w:val="3370ff"/>
      </w:rPr>
    </w:lvl>
  </w:abstractNum>
  <w:abstractNum w:abstractNumId="30000">
    <w:lvl>
      <w:numFmt w:val="bullet"/>
      <w:suff w:val="tab"/>
      <w:lvlText w:val="￮"/>
      <w:rPr>
        <w:color w:val="3370ff"/>
      </w:rPr>
    </w:lvl>
  </w:abstractNum>
  <w:abstractNum w:abstractNumId="30001">
    <w:lvl>
      <w:numFmt w:val="bullet"/>
      <w:suff w:val="tab"/>
      <w:lvlText w:val="•"/>
      <w:rPr>
        <w:color w:val="3370ff"/>
      </w:rPr>
    </w:lvl>
  </w:abstractNum>
  <w:abstractNum w:abstractNumId="30002">
    <w:lvl>
      <w:numFmt w:val="bullet"/>
      <w:suff w:val="tab"/>
      <w:lvlText w:val="￮"/>
      <w:rPr>
        <w:color w:val="3370ff"/>
      </w:rPr>
    </w:lvl>
  </w:abstractNum>
  <w:abstractNum w:abstractNumId="30003">
    <w:lvl>
      <w:numFmt w:val="bullet"/>
      <w:suff w:val="tab"/>
      <w:lvlText w:val="￮"/>
      <w:rPr>
        <w:color w:val="3370ff"/>
      </w:rPr>
    </w:lvl>
  </w:abstractNum>
  <w:abstractNum w:abstractNumId="30004">
    <w:lvl>
      <w:numFmt w:val="bullet"/>
      <w:suff w:val="tab"/>
      <w:lvlText w:val="•"/>
      <w:rPr>
        <w:color w:val="3370ff"/>
      </w:rPr>
    </w:lvl>
  </w:abstractNum>
  <w:abstractNum w:abstractNumId="30005">
    <w:lvl>
      <w:numFmt w:val="bullet"/>
      <w:suff w:val="tab"/>
      <w:lvlText w:val="￮"/>
      <w:rPr>
        <w:color w:val="3370ff"/>
      </w:rPr>
    </w:lvl>
  </w:abstractNum>
  <w:abstractNum w:abstractNumId="30006">
    <w:lvl>
      <w:numFmt w:val="bullet"/>
      <w:suff w:val="tab"/>
      <w:lvlText w:val="￮"/>
      <w:rPr>
        <w:color w:val="3370ff"/>
      </w:rPr>
    </w:lvl>
  </w:abstractNum>
  <w:abstractNum w:abstractNumId="30007">
    <w:lvl>
      <w:numFmt w:val="bullet"/>
      <w:suff w:val="tab"/>
      <w:lvlText w:val="•"/>
      <w:rPr>
        <w:color w:val="3370ff"/>
      </w:rPr>
    </w:lvl>
  </w:abstractNum>
  <w:abstractNum w:abstractNumId="30008">
    <w:lvl>
      <w:numFmt w:val="bullet"/>
      <w:suff w:val="tab"/>
      <w:lvlText w:val="•"/>
      <w:rPr>
        <w:color w:val="3370ff"/>
      </w:rPr>
    </w:lvl>
  </w:abstractNum>
  <w:abstractNum w:abstractNumId="30009">
    <w:lvl>
      <w:numFmt w:val="bullet"/>
      <w:suff w:val="tab"/>
      <w:lvlText w:val="•"/>
      <w:rPr>
        <w:color w:val="3370ff"/>
      </w:rPr>
    </w:lvl>
  </w:abstractNum>
  <w:abstractNum w:abstractNumId="30010">
    <w:lvl>
      <w:numFmt w:val="bullet"/>
      <w:suff w:val="tab"/>
      <w:lvlText w:val="•"/>
      <w:rPr>
        <w:color w:val="3370ff"/>
      </w:rPr>
    </w:lvl>
  </w:abstractNum>
  <w:abstractNum w:abstractNumId="30011">
    <w:lvl>
      <w:numFmt w:val="bullet"/>
      <w:suff w:val="tab"/>
      <w:lvlText w:val="•"/>
      <w:rPr>
        <w:color w:val="3370ff"/>
      </w:rPr>
    </w:lvl>
  </w:abstractNum>
  <w:abstractNum w:abstractNumId="30012">
    <w:lvl>
      <w:numFmt w:val="bullet"/>
      <w:suff w:val="tab"/>
      <w:lvlText w:val="•"/>
      <w:rPr>
        <w:color w:val="3370ff"/>
      </w:rPr>
    </w:lvl>
  </w:abstractNum>
  <w:abstractNum w:abstractNumId="30013">
    <w:lvl>
      <w:numFmt w:val="bullet"/>
      <w:suff w:val="tab"/>
      <w:lvlText w:val="•"/>
      <w:rPr>
        <w:color w:val="3370ff"/>
      </w:rPr>
    </w:lvl>
  </w:abstractNum>
  <w:abstractNum w:abstractNumId="30014">
    <w:lvl>
      <w:numFmt w:val="bullet"/>
      <w:suff w:val="tab"/>
      <w:lvlText w:val="•"/>
      <w:rPr>
        <w:color w:val="3370ff"/>
      </w:rPr>
    </w:lvl>
  </w:abstractNum>
  <w:abstractNum w:abstractNumId="30015">
    <w:lvl>
      <w:numFmt w:val="bullet"/>
      <w:suff w:val="tab"/>
      <w:lvlText w:val="•"/>
      <w:rPr>
        <w:color w:val="3370ff"/>
      </w:rPr>
    </w:lvl>
  </w:abstractNum>
  <w:abstractNum w:abstractNumId="30016">
    <w:lvl>
      <w:numFmt w:val="bullet"/>
      <w:suff w:val="tab"/>
      <w:lvlText w:val="•"/>
      <w:rPr>
        <w:color w:val="3370ff"/>
      </w:rPr>
    </w:lvl>
  </w:abstractNum>
  <w:abstractNum w:abstractNumId="30017">
    <w:lvl>
      <w:numFmt w:val="bullet"/>
      <w:suff w:val="tab"/>
      <w:lvlText w:val="•"/>
      <w:rPr>
        <w:color w:val="3370ff"/>
      </w:rPr>
    </w:lvl>
  </w:abstractNum>
  <w:abstractNum w:abstractNumId="30018">
    <w:lvl>
      <w:numFmt w:val="bullet"/>
      <w:suff w:val="tab"/>
      <w:lvlText w:val="•"/>
      <w:rPr>
        <w:color w:val="3370ff"/>
      </w:rPr>
    </w:lvl>
  </w:abstractNum>
  <w:abstractNum w:abstractNumId="30019">
    <w:lvl>
      <w:numFmt w:val="bullet"/>
      <w:suff w:val="tab"/>
      <w:lvlText w:val="•"/>
      <w:rPr>
        <w:color w:val="3370ff"/>
      </w:rPr>
    </w:lvl>
  </w:abstractNum>
  <w:abstractNum w:abstractNumId="30020">
    <w:lvl>
      <w:numFmt w:val="bullet"/>
      <w:suff w:val="tab"/>
      <w:lvlText w:val="•"/>
      <w:rPr>
        <w:color w:val="3370ff"/>
      </w:rPr>
    </w:lvl>
  </w:abstractNum>
  <w:abstractNum w:abstractNumId="30021">
    <w:lvl>
      <w:numFmt w:val="bullet"/>
      <w:suff w:val="tab"/>
      <w:lvlText w:val="•"/>
      <w:rPr>
        <w:color w:val="3370ff"/>
      </w:rPr>
    </w:lvl>
  </w:abstractNum>
  <w:abstractNum w:abstractNumId="30022">
    <w:lvl>
      <w:numFmt w:val="bullet"/>
      <w:suff w:val="tab"/>
      <w:lvlText w:val="•"/>
      <w:rPr>
        <w:color w:val="3370ff"/>
      </w:rPr>
    </w:lvl>
  </w:abstractNum>
  <w:abstractNum w:abstractNumId="30023">
    <w:lvl>
      <w:numFmt w:val="bullet"/>
      <w:suff w:val="tab"/>
      <w:lvlText w:val="•"/>
      <w:rPr>
        <w:color w:val="3370ff"/>
      </w:rPr>
    </w:lvl>
  </w:abstractNum>
  <w:abstractNum w:abstractNumId="30024">
    <w:lvl>
      <w:numFmt w:val="bullet"/>
      <w:suff w:val="tab"/>
      <w:lvlText w:val="￮"/>
      <w:rPr>
        <w:color w:val="3370ff"/>
      </w:rPr>
    </w:lvl>
  </w:abstractNum>
  <w:abstractNum w:abstractNumId="30025">
    <w:lvl>
      <w:numFmt w:val="bullet"/>
      <w:suff w:val="tab"/>
      <w:lvlText w:val="•"/>
      <w:rPr>
        <w:color w:val="3370ff"/>
      </w:rPr>
    </w:lvl>
  </w:abstractNum>
  <w:abstractNum w:abstractNumId="30026">
    <w:lvl>
      <w:numFmt w:val="bullet"/>
      <w:suff w:val="tab"/>
      <w:lvlText w:val="•"/>
      <w:rPr>
        <w:color w:val="3370ff"/>
      </w:rPr>
    </w:lvl>
  </w:abstractNum>
  <w:abstractNum w:abstractNumId="30027">
    <w:lvl>
      <w:numFmt w:val="bullet"/>
      <w:suff w:val="tab"/>
      <w:lvlText w:val="￮"/>
      <w:rPr>
        <w:color w:val="3370ff"/>
      </w:rPr>
    </w:lvl>
  </w:abstractNum>
  <w:abstractNum w:abstractNumId="30028">
    <w:lvl>
      <w:numFmt w:val="bullet"/>
      <w:suff w:val="tab"/>
      <w:lvlText w:val="•"/>
      <w:rPr>
        <w:color w:val="3370ff"/>
      </w:rPr>
    </w:lvl>
  </w:abstractNum>
  <w:abstractNum w:abstractNumId="30029">
    <w:lvl>
      <w:numFmt w:val="bullet"/>
      <w:suff w:val="tab"/>
      <w:lvlText w:val="•"/>
      <w:rPr>
        <w:color w:val="3370ff"/>
      </w:rPr>
    </w:lvl>
  </w:abstractNum>
  <w:abstractNum w:abstractNumId="30030">
    <w:lvl>
      <w:start w:val="1"/>
      <w:numFmt w:val="decimal"/>
      <w:suff w:val="tab"/>
      <w:lvlText w:val="%1."/>
      <w:rPr>
        <w:color w:val="3370ff"/>
      </w:rPr>
    </w:lvl>
  </w:abstractNum>
  <w:abstractNum w:abstractNumId="30031">
    <w:lvl>
      <w:start w:val="2"/>
      <w:numFmt w:val="decimal"/>
      <w:suff w:val="tab"/>
      <w:lvlText w:val="%1."/>
      <w:rPr>
        <w:color w:val="3370ff"/>
      </w:rPr>
    </w:lvl>
  </w:abstractNum>
  <w:abstractNum w:abstractNumId="30032">
    <w:lvl>
      <w:start w:val="3"/>
      <w:numFmt w:val="decimal"/>
      <w:suff w:val="tab"/>
      <w:lvlText w:val="%1."/>
      <w:rPr>
        <w:color w:val="3370ff"/>
      </w:rPr>
    </w:lvl>
  </w:abstractNum>
  <w:abstractNum w:abstractNumId="30033">
    <w:lvl>
      <w:start w:val="4"/>
      <w:numFmt w:val="decimal"/>
      <w:suff w:val="tab"/>
      <w:lvlText w:val="%1."/>
      <w:rPr>
        <w:color w:val="3370ff"/>
      </w:rPr>
    </w:lvl>
  </w:abstractNum>
  <w:abstractNum w:abstractNumId="30034">
    <w:lvl>
      <w:numFmt w:val="bullet"/>
      <w:suff w:val="tab"/>
      <w:lvlText w:val="•"/>
      <w:rPr>
        <w:color w:val="3370ff"/>
      </w:rPr>
    </w:lvl>
  </w:abstractNum>
  <w:abstractNum w:abstractNumId="30035">
    <w:lvl>
      <w:numFmt w:val="bullet"/>
      <w:suff w:val="tab"/>
      <w:lvlText w:val="•"/>
      <w:rPr>
        <w:color w:val="3370ff"/>
      </w:rPr>
    </w:lvl>
  </w:abstractNum>
  <w:abstractNum w:abstractNumId="30036">
    <w:lvl>
      <w:numFmt w:val="bullet"/>
      <w:suff w:val="tab"/>
      <w:lvlText w:val="•"/>
      <w:rPr>
        <w:color w:val="3370ff"/>
      </w:rPr>
    </w:lvl>
  </w:abstractNum>
  <w:abstractNum w:abstractNumId="30037">
    <w:lvl>
      <w:numFmt w:val="bullet"/>
      <w:suff w:val="tab"/>
      <w:lvlText w:val="•"/>
      <w:rPr>
        <w:color w:val="3370ff"/>
      </w:rPr>
    </w:lvl>
  </w:abstractNum>
  <w:abstractNum w:abstractNumId="30038">
    <w:lvl>
      <w:numFmt w:val="bullet"/>
      <w:suff w:val="tab"/>
      <w:lvlText w:val="•"/>
      <w:rPr>
        <w:color w:val="3370ff"/>
      </w:rPr>
    </w:lvl>
  </w:abstractNum>
  <w:abstractNum w:abstractNumId="30039">
    <w:lvl>
      <w:numFmt w:val="bullet"/>
      <w:suff w:val="tab"/>
      <w:lvlText w:val="•"/>
      <w:rPr>
        <w:color w:val="3370ff"/>
      </w:rPr>
    </w:lvl>
  </w:abstractNum>
  <w:abstractNum w:abstractNumId="30040">
    <w:lvl>
      <w:numFmt w:val="bullet"/>
      <w:suff w:val="tab"/>
      <w:lvlText w:val="•"/>
      <w:rPr>
        <w:color w:val="3370ff"/>
      </w:rPr>
    </w:lvl>
  </w:abstractNum>
  <w:abstractNum w:abstractNumId="30041">
    <w:lvl>
      <w:numFmt w:val="bullet"/>
      <w:suff w:val="tab"/>
      <w:lvlText w:val="•"/>
      <w:rPr>
        <w:color w:val="3370ff"/>
      </w:rPr>
    </w:lvl>
  </w:abstractNum>
  <w:abstractNum w:abstractNumId="30042">
    <w:lvl>
      <w:numFmt w:val="bullet"/>
      <w:suff w:val="tab"/>
      <w:lvlText w:val="•"/>
      <w:rPr>
        <w:color w:val="3370ff"/>
      </w:rPr>
    </w:lvl>
  </w:abstractNum>
  <w:abstractNum w:abstractNumId="30043">
    <w:lvl>
      <w:numFmt w:val="bullet"/>
      <w:suff w:val="tab"/>
      <w:lvlText w:val="•"/>
      <w:rPr>
        <w:color w:val="3370ff"/>
      </w:rPr>
    </w:lvl>
  </w:abstractNum>
  <w:abstractNum w:abstractNumId="30044">
    <w:lvl>
      <w:start w:val="1"/>
      <w:numFmt w:val="decimal"/>
      <w:suff w:val="tab"/>
      <w:lvlText w:val="%1."/>
      <w:rPr>
        <w:color w:val="3370ff"/>
      </w:rPr>
    </w:lvl>
  </w:abstractNum>
  <w:abstractNum w:abstractNumId="30045">
    <w:lvl>
      <w:start w:val="2"/>
      <w:numFmt w:val="decimal"/>
      <w:suff w:val="tab"/>
      <w:lvlText w:val="%1."/>
      <w:rPr>
        <w:color w:val="3370ff"/>
      </w:rPr>
    </w:lvl>
  </w:abstractNum>
  <w:abstractNum w:abstractNumId="30046">
    <w:lvl>
      <w:start w:val="1"/>
      <w:numFmt w:val="lowerLetter"/>
      <w:suff w:val="tab"/>
      <w:lvlText w:val="%1."/>
      <w:rPr>
        <w:color w:val="3370ff"/>
      </w:rPr>
    </w:lvl>
  </w:abstractNum>
  <w:abstractNum w:abstractNumId="30047">
    <w:lvl>
      <w:start w:val="2"/>
      <w:numFmt w:val="lowerLetter"/>
      <w:suff w:val="tab"/>
      <w:lvlText w:val="%1."/>
      <w:rPr>
        <w:color w:val="3370ff"/>
      </w:rPr>
    </w:lvl>
  </w:abstractNum>
  <w:abstractNum w:abstractNumId="30048">
    <w:lvl>
      <w:start w:val="3"/>
      <w:numFmt w:val="lowerLetter"/>
      <w:suff w:val="tab"/>
      <w:lvlText w:val="%1."/>
      <w:rPr>
        <w:color w:val="3370ff"/>
      </w:rPr>
    </w:lvl>
  </w:abstractNum>
  <w:abstractNum w:abstractNumId="30049">
    <w:lvl>
      <w:start w:val="4"/>
      <w:numFmt w:val="lowerLetter"/>
      <w:suff w:val="tab"/>
      <w:lvlText w:val="%1."/>
      <w:rPr>
        <w:color w:val="3370ff"/>
      </w:rPr>
    </w:lvl>
  </w:abstractNum>
  <w:abstractNum w:abstractNumId="30050">
    <w:lvl>
      <w:start w:val="3"/>
      <w:numFmt w:val="decimal"/>
      <w:suff w:val="tab"/>
      <w:lvlText w:val="%1."/>
      <w:rPr>
        <w:color w:val="3370ff"/>
      </w:rPr>
    </w:lvl>
  </w:abstractNum>
  <w:abstractNum w:abstractNumId="30051">
    <w:lvl>
      <w:start w:val="4"/>
      <w:numFmt w:val="decimal"/>
      <w:suff w:val="tab"/>
      <w:lvlText w:val="%1."/>
      <w:rPr>
        <w:color w:val="3370ff"/>
      </w:rPr>
    </w:lvl>
  </w:abstractNum>
  <w:abstractNum w:abstractNumId="30052">
    <w:lvl>
      <w:start w:val="1"/>
      <w:numFmt w:val="decimal"/>
      <w:suff w:val="tab"/>
      <w:lvlText w:val="%1."/>
      <w:rPr>
        <w:color w:val="3370ff"/>
      </w:rPr>
    </w:lvl>
  </w:abstractNum>
  <w:abstractNum w:abstractNumId="30053">
    <w:lvl>
      <w:start w:val="2"/>
      <w:numFmt w:val="decimal"/>
      <w:suff w:val="tab"/>
      <w:lvlText w:val="%1."/>
      <w:rPr>
        <w:color w:val="3370ff"/>
      </w:rPr>
    </w:lvl>
  </w:abstractNum>
  <w:abstractNum w:abstractNumId="30054">
    <w:lvl>
      <w:numFmt w:val="bullet"/>
      <w:suff w:val="tab"/>
      <w:lvlText w:val="•"/>
      <w:rPr>
        <w:color w:val="3370ff"/>
      </w:rPr>
    </w:lvl>
  </w:abstractNum>
  <w:abstractNum w:abstractNumId="30055">
    <w:lvl>
      <w:numFmt w:val="bullet"/>
      <w:suff w:val="tab"/>
      <w:lvlText w:val="•"/>
      <w:rPr>
        <w:color w:val="3370ff"/>
      </w:rPr>
    </w:lvl>
  </w:abstractNum>
  <w:abstractNum w:abstractNumId="30056">
    <w:lvl>
      <w:numFmt w:val="bullet"/>
      <w:suff w:val="tab"/>
      <w:lvlText w:val="•"/>
      <w:rPr>
        <w:color w:val="3370ff"/>
      </w:rPr>
    </w:lvl>
  </w:abstractNum>
  <w:abstractNum w:abstractNumId="30057">
    <w:lvl>
      <w:numFmt w:val="bullet"/>
      <w:suff w:val="tab"/>
      <w:lvlText w:val="•"/>
      <w:rPr>
        <w:color w:val="3370ff"/>
      </w:rPr>
    </w:lvl>
  </w:abstractNum>
  <w:abstractNum w:abstractNumId="30058">
    <w:lvl>
      <w:numFmt w:val="bullet"/>
      <w:suff w:val="tab"/>
      <w:lvlText w:val="•"/>
      <w:rPr>
        <w:color w:val="3370ff"/>
      </w:rPr>
    </w:lvl>
  </w:abstractNum>
  <w:abstractNum w:abstractNumId="30059">
    <w:lvl>
      <w:numFmt w:val="bullet"/>
      <w:suff w:val="tab"/>
      <w:lvlText w:val="•"/>
      <w:rPr>
        <w:color w:val="3370ff"/>
      </w:rPr>
    </w:lvl>
  </w:abstractNum>
  <w:abstractNum w:abstractNumId="30060">
    <w:lvl>
      <w:numFmt w:val="bullet"/>
      <w:suff w:val="tab"/>
      <w:lvlText w:val="•"/>
      <w:rPr>
        <w:color w:val="3370ff"/>
      </w:rPr>
    </w:lvl>
  </w:abstractNum>
  <w:abstractNum w:abstractNumId="30061">
    <w:lvl>
      <w:numFmt w:val="bullet"/>
      <w:suff w:val="tab"/>
      <w:lvlText w:val="•"/>
      <w:rPr>
        <w:color w:val="3370ff"/>
      </w:rPr>
    </w:lvl>
  </w:abstractNum>
  <w:num w:numId="1">
    <w:abstractNumId w:val="29752"/>
  </w:num>
  <w:num w:numId="2">
    <w:abstractNumId w:val="29753"/>
  </w:num>
  <w:num w:numId="3">
    <w:abstractNumId w:val="29754"/>
  </w:num>
  <w:num w:numId="4">
    <w:abstractNumId w:val="29755"/>
  </w:num>
  <w:num w:numId="5">
    <w:abstractNumId w:val="29756"/>
  </w:num>
  <w:num w:numId="6">
    <w:abstractNumId w:val="29757"/>
  </w:num>
  <w:num w:numId="7">
    <w:abstractNumId w:val="29758"/>
  </w:num>
  <w:num w:numId="8">
    <w:abstractNumId w:val="29759"/>
  </w:num>
  <w:num w:numId="9">
    <w:abstractNumId w:val="29760"/>
  </w:num>
  <w:num w:numId="10">
    <w:abstractNumId w:val="29761"/>
  </w:num>
  <w:num w:numId="11">
    <w:abstractNumId w:val="29762"/>
  </w:num>
  <w:num w:numId="12">
    <w:abstractNumId w:val="29763"/>
  </w:num>
  <w:num w:numId="13">
    <w:abstractNumId w:val="29764"/>
  </w:num>
  <w:num w:numId="14">
    <w:abstractNumId w:val="29765"/>
  </w:num>
  <w:num w:numId="15">
    <w:abstractNumId w:val="29766"/>
  </w:num>
  <w:num w:numId="16">
    <w:abstractNumId w:val="29767"/>
  </w:num>
  <w:num w:numId="17">
    <w:abstractNumId w:val="29768"/>
  </w:num>
  <w:num w:numId="18">
    <w:abstractNumId w:val="29769"/>
  </w:num>
  <w:num w:numId="19">
    <w:abstractNumId w:val="29770"/>
  </w:num>
  <w:num w:numId="20">
    <w:abstractNumId w:val="29771"/>
  </w:num>
  <w:num w:numId="21">
    <w:abstractNumId w:val="29772"/>
  </w:num>
  <w:num w:numId="22">
    <w:abstractNumId w:val="29773"/>
  </w:num>
  <w:num w:numId="23">
    <w:abstractNumId w:val="29774"/>
  </w:num>
  <w:num w:numId="24">
    <w:abstractNumId w:val="29775"/>
  </w:num>
  <w:num w:numId="25">
    <w:abstractNumId w:val="29776"/>
  </w:num>
  <w:num w:numId="26">
    <w:abstractNumId w:val="29777"/>
  </w:num>
  <w:num w:numId="27">
    <w:abstractNumId w:val="29778"/>
  </w:num>
  <w:num w:numId="28">
    <w:abstractNumId w:val="29779"/>
  </w:num>
  <w:num w:numId="29">
    <w:abstractNumId w:val="29780"/>
  </w:num>
  <w:num w:numId="30">
    <w:abstractNumId w:val="29781"/>
  </w:num>
  <w:num w:numId="31">
    <w:abstractNumId w:val="29782"/>
  </w:num>
  <w:num w:numId="32">
    <w:abstractNumId w:val="29783"/>
  </w:num>
  <w:num w:numId="33">
    <w:abstractNumId w:val="29784"/>
  </w:num>
  <w:num w:numId="34">
    <w:abstractNumId w:val="29785"/>
  </w:num>
  <w:num w:numId="35">
    <w:abstractNumId w:val="29786"/>
  </w:num>
  <w:num w:numId="36">
    <w:abstractNumId w:val="29787"/>
  </w:num>
  <w:num w:numId="37">
    <w:abstractNumId w:val="29788"/>
  </w:num>
  <w:num w:numId="38">
    <w:abstractNumId w:val="29789"/>
  </w:num>
  <w:num w:numId="39">
    <w:abstractNumId w:val="29790"/>
  </w:num>
  <w:num w:numId="40">
    <w:abstractNumId w:val="29791"/>
  </w:num>
  <w:num w:numId="41">
    <w:abstractNumId w:val="29792"/>
  </w:num>
  <w:num w:numId="42">
    <w:abstractNumId w:val="29793"/>
  </w:num>
  <w:num w:numId="43">
    <w:abstractNumId w:val="29794"/>
  </w:num>
  <w:num w:numId="44">
    <w:abstractNumId w:val="29795"/>
  </w:num>
  <w:num w:numId="45">
    <w:abstractNumId w:val="29796"/>
  </w:num>
  <w:num w:numId="46">
    <w:abstractNumId w:val="29797"/>
  </w:num>
  <w:num w:numId="47">
    <w:abstractNumId w:val="29798"/>
  </w:num>
  <w:num w:numId="48">
    <w:abstractNumId w:val="29799"/>
  </w:num>
  <w:num w:numId="49">
    <w:abstractNumId w:val="29800"/>
  </w:num>
  <w:num w:numId="50">
    <w:abstractNumId w:val="29801"/>
  </w:num>
  <w:num w:numId="51">
    <w:abstractNumId w:val="29802"/>
  </w:num>
  <w:num w:numId="52">
    <w:abstractNumId w:val="29803"/>
  </w:num>
  <w:num w:numId="53">
    <w:abstractNumId w:val="29804"/>
  </w:num>
  <w:num w:numId="54">
    <w:abstractNumId w:val="29805"/>
  </w:num>
  <w:num w:numId="55">
    <w:abstractNumId w:val="29806"/>
  </w:num>
  <w:num w:numId="56">
    <w:abstractNumId w:val="29807"/>
  </w:num>
  <w:num w:numId="57">
    <w:abstractNumId w:val="29808"/>
  </w:num>
  <w:num w:numId="58">
    <w:abstractNumId w:val="29809"/>
  </w:num>
  <w:num w:numId="59">
    <w:abstractNumId w:val="29810"/>
  </w:num>
  <w:num w:numId="60">
    <w:abstractNumId w:val="29811"/>
  </w:num>
  <w:num w:numId="61">
    <w:abstractNumId w:val="29812"/>
  </w:num>
  <w:num w:numId="62">
    <w:abstractNumId w:val="29813"/>
  </w:num>
  <w:num w:numId="63">
    <w:abstractNumId w:val="29814"/>
  </w:num>
  <w:num w:numId="64">
    <w:abstractNumId w:val="29815"/>
  </w:num>
  <w:num w:numId="65">
    <w:abstractNumId w:val="29816"/>
  </w:num>
  <w:num w:numId="66">
    <w:abstractNumId w:val="29817"/>
  </w:num>
  <w:num w:numId="67">
    <w:abstractNumId w:val="29818"/>
  </w:num>
  <w:num w:numId="68">
    <w:abstractNumId w:val="29819"/>
  </w:num>
  <w:num w:numId="69">
    <w:abstractNumId w:val="29820"/>
  </w:num>
  <w:num w:numId="70">
    <w:abstractNumId w:val="29821"/>
  </w:num>
  <w:num w:numId="71">
    <w:abstractNumId w:val="29822"/>
  </w:num>
  <w:num w:numId="72">
    <w:abstractNumId w:val="29823"/>
  </w:num>
  <w:num w:numId="73">
    <w:abstractNumId w:val="29824"/>
  </w:num>
  <w:num w:numId="74">
    <w:abstractNumId w:val="29825"/>
  </w:num>
  <w:num w:numId="75">
    <w:abstractNumId w:val="29826"/>
  </w:num>
  <w:num w:numId="76">
    <w:abstractNumId w:val="29827"/>
  </w:num>
  <w:num w:numId="77">
    <w:abstractNumId w:val="29828"/>
  </w:num>
  <w:num w:numId="78">
    <w:abstractNumId w:val="29829"/>
  </w:num>
  <w:num w:numId="79">
    <w:abstractNumId w:val="29830"/>
  </w:num>
  <w:num w:numId="80">
    <w:abstractNumId w:val="29831"/>
  </w:num>
  <w:num w:numId="81">
    <w:abstractNumId w:val="29832"/>
  </w:num>
  <w:num w:numId="82">
    <w:abstractNumId w:val="29833"/>
  </w:num>
  <w:num w:numId="83">
    <w:abstractNumId w:val="29834"/>
  </w:num>
  <w:num w:numId="84">
    <w:abstractNumId w:val="29835"/>
  </w:num>
  <w:num w:numId="85">
    <w:abstractNumId w:val="29836"/>
  </w:num>
  <w:num w:numId="86">
    <w:abstractNumId w:val="29837"/>
  </w:num>
  <w:num w:numId="87">
    <w:abstractNumId w:val="29838"/>
  </w:num>
  <w:num w:numId="88">
    <w:abstractNumId w:val="29839"/>
  </w:num>
  <w:num w:numId="89">
    <w:abstractNumId w:val="29840"/>
  </w:num>
  <w:num w:numId="90">
    <w:abstractNumId w:val="29841"/>
  </w:num>
  <w:num w:numId="91">
    <w:abstractNumId w:val="29842"/>
  </w:num>
  <w:num w:numId="92">
    <w:abstractNumId w:val="29843"/>
  </w:num>
  <w:num w:numId="93">
    <w:abstractNumId w:val="29844"/>
  </w:num>
  <w:num w:numId="94">
    <w:abstractNumId w:val="29845"/>
  </w:num>
  <w:num w:numId="95">
    <w:abstractNumId w:val="29846"/>
  </w:num>
  <w:num w:numId="96">
    <w:abstractNumId w:val="29847"/>
  </w:num>
  <w:num w:numId="97">
    <w:abstractNumId w:val="29848"/>
  </w:num>
  <w:num w:numId="98">
    <w:abstractNumId w:val="29849"/>
  </w:num>
  <w:num w:numId="99">
    <w:abstractNumId w:val="29850"/>
  </w:num>
  <w:num w:numId="100">
    <w:abstractNumId w:val="29851"/>
  </w:num>
  <w:num w:numId="101">
    <w:abstractNumId w:val="29852"/>
  </w:num>
  <w:num w:numId="102">
    <w:abstractNumId w:val="29853"/>
  </w:num>
  <w:num w:numId="103">
    <w:abstractNumId w:val="29854"/>
  </w:num>
  <w:num w:numId="104">
    <w:abstractNumId w:val="29855"/>
  </w:num>
  <w:num w:numId="105">
    <w:abstractNumId w:val="29856"/>
  </w:num>
  <w:num w:numId="106">
    <w:abstractNumId w:val="29857"/>
  </w:num>
  <w:num w:numId="107">
    <w:abstractNumId w:val="29858"/>
  </w:num>
  <w:num w:numId="108">
    <w:abstractNumId w:val="29859"/>
  </w:num>
  <w:num w:numId="109">
    <w:abstractNumId w:val="29860"/>
  </w:num>
  <w:num w:numId="110">
    <w:abstractNumId w:val="29861"/>
  </w:num>
  <w:num w:numId="111">
    <w:abstractNumId w:val="29862"/>
  </w:num>
  <w:num w:numId="112">
    <w:abstractNumId w:val="29863"/>
  </w:num>
  <w:num w:numId="113">
    <w:abstractNumId w:val="29864"/>
  </w:num>
  <w:num w:numId="114">
    <w:abstractNumId w:val="29865"/>
  </w:num>
  <w:num w:numId="115">
    <w:abstractNumId w:val="29866"/>
  </w:num>
  <w:num w:numId="116">
    <w:abstractNumId w:val="29867"/>
  </w:num>
  <w:num w:numId="117">
    <w:abstractNumId w:val="29868"/>
  </w:num>
  <w:num w:numId="118">
    <w:abstractNumId w:val="29869"/>
  </w:num>
  <w:num w:numId="119">
    <w:abstractNumId w:val="29870"/>
  </w:num>
  <w:num w:numId="120">
    <w:abstractNumId w:val="29871"/>
  </w:num>
  <w:num w:numId="121">
    <w:abstractNumId w:val="29872"/>
  </w:num>
  <w:num w:numId="122">
    <w:abstractNumId w:val="29873"/>
  </w:num>
  <w:num w:numId="123">
    <w:abstractNumId w:val="29874"/>
  </w:num>
  <w:num w:numId="124">
    <w:abstractNumId w:val="29875"/>
  </w:num>
  <w:num w:numId="125">
    <w:abstractNumId w:val="29876"/>
  </w:num>
  <w:num w:numId="126">
    <w:abstractNumId w:val="29877"/>
  </w:num>
  <w:num w:numId="127">
    <w:abstractNumId w:val="29878"/>
  </w:num>
  <w:num w:numId="128">
    <w:abstractNumId w:val="29879"/>
  </w:num>
  <w:num w:numId="129">
    <w:abstractNumId w:val="29880"/>
  </w:num>
  <w:num w:numId="130">
    <w:abstractNumId w:val="29881"/>
  </w:num>
  <w:num w:numId="131">
    <w:abstractNumId w:val="29882"/>
  </w:num>
  <w:num w:numId="132">
    <w:abstractNumId w:val="29883"/>
  </w:num>
  <w:num w:numId="133">
    <w:abstractNumId w:val="29884"/>
  </w:num>
  <w:num w:numId="134">
    <w:abstractNumId w:val="29885"/>
  </w:num>
  <w:num w:numId="135">
    <w:abstractNumId w:val="29886"/>
  </w:num>
  <w:num w:numId="136">
    <w:abstractNumId w:val="29887"/>
  </w:num>
  <w:num w:numId="137">
    <w:abstractNumId w:val="29888"/>
  </w:num>
  <w:num w:numId="138">
    <w:abstractNumId w:val="29889"/>
  </w:num>
  <w:num w:numId="139">
    <w:abstractNumId w:val="29890"/>
  </w:num>
  <w:num w:numId="140">
    <w:abstractNumId w:val="29891"/>
  </w:num>
  <w:num w:numId="141">
    <w:abstractNumId w:val="29892"/>
  </w:num>
  <w:num w:numId="142">
    <w:abstractNumId w:val="29893"/>
  </w:num>
  <w:num w:numId="143">
    <w:abstractNumId w:val="29894"/>
  </w:num>
  <w:num w:numId="144">
    <w:abstractNumId w:val="29895"/>
  </w:num>
  <w:num w:numId="145">
    <w:abstractNumId w:val="29896"/>
  </w:num>
  <w:num w:numId="146">
    <w:abstractNumId w:val="29897"/>
  </w:num>
  <w:num w:numId="147">
    <w:abstractNumId w:val="29898"/>
  </w:num>
  <w:num w:numId="148">
    <w:abstractNumId w:val="29899"/>
  </w:num>
  <w:num w:numId="149">
    <w:abstractNumId w:val="29900"/>
  </w:num>
  <w:num w:numId="150">
    <w:abstractNumId w:val="29901"/>
  </w:num>
  <w:num w:numId="151">
    <w:abstractNumId w:val="29902"/>
  </w:num>
  <w:num w:numId="152">
    <w:abstractNumId w:val="29903"/>
  </w:num>
  <w:num w:numId="153">
    <w:abstractNumId w:val="29904"/>
  </w:num>
  <w:num w:numId="154">
    <w:abstractNumId w:val="29905"/>
  </w:num>
  <w:num w:numId="155">
    <w:abstractNumId w:val="29906"/>
  </w:num>
  <w:num w:numId="156">
    <w:abstractNumId w:val="29907"/>
  </w:num>
  <w:num w:numId="157">
    <w:abstractNumId w:val="29908"/>
  </w:num>
  <w:num w:numId="158">
    <w:abstractNumId w:val="29909"/>
  </w:num>
  <w:num w:numId="159">
    <w:abstractNumId w:val="29910"/>
  </w:num>
  <w:num w:numId="160">
    <w:abstractNumId w:val="29911"/>
  </w:num>
  <w:num w:numId="161">
    <w:abstractNumId w:val="29912"/>
  </w:num>
  <w:num w:numId="162">
    <w:abstractNumId w:val="29913"/>
  </w:num>
  <w:num w:numId="163">
    <w:abstractNumId w:val="29914"/>
  </w:num>
  <w:num w:numId="164">
    <w:abstractNumId w:val="29915"/>
  </w:num>
  <w:num w:numId="165">
    <w:abstractNumId w:val="29916"/>
  </w:num>
  <w:num w:numId="166">
    <w:abstractNumId w:val="29917"/>
  </w:num>
  <w:num w:numId="167">
    <w:abstractNumId w:val="29918"/>
  </w:num>
  <w:num w:numId="168">
    <w:abstractNumId w:val="29919"/>
  </w:num>
  <w:num w:numId="169">
    <w:abstractNumId w:val="29920"/>
  </w:num>
  <w:num w:numId="170">
    <w:abstractNumId w:val="29921"/>
  </w:num>
  <w:num w:numId="171">
    <w:abstractNumId w:val="29922"/>
  </w:num>
  <w:num w:numId="172">
    <w:abstractNumId w:val="29923"/>
  </w:num>
  <w:num w:numId="173">
    <w:abstractNumId w:val="29924"/>
  </w:num>
  <w:num w:numId="174">
    <w:abstractNumId w:val="29925"/>
  </w:num>
  <w:num w:numId="175">
    <w:abstractNumId w:val="29926"/>
  </w:num>
  <w:num w:numId="176">
    <w:abstractNumId w:val="29927"/>
  </w:num>
  <w:num w:numId="177">
    <w:abstractNumId w:val="29928"/>
  </w:num>
  <w:num w:numId="178">
    <w:abstractNumId w:val="29929"/>
  </w:num>
  <w:num w:numId="179">
    <w:abstractNumId w:val="29930"/>
  </w:num>
  <w:num w:numId="180">
    <w:abstractNumId w:val="29931"/>
  </w:num>
  <w:num w:numId="181">
    <w:abstractNumId w:val="29932"/>
  </w:num>
  <w:num w:numId="182">
    <w:abstractNumId w:val="29933"/>
  </w:num>
  <w:num w:numId="183">
    <w:abstractNumId w:val="29934"/>
  </w:num>
  <w:num w:numId="184">
    <w:abstractNumId w:val="29935"/>
  </w:num>
  <w:num w:numId="185">
    <w:abstractNumId w:val="29936"/>
  </w:num>
  <w:num w:numId="186">
    <w:abstractNumId w:val="29937"/>
  </w:num>
  <w:num w:numId="187">
    <w:abstractNumId w:val="29938"/>
  </w:num>
  <w:num w:numId="188">
    <w:abstractNumId w:val="29939"/>
  </w:num>
  <w:num w:numId="189">
    <w:abstractNumId w:val="29940"/>
  </w:num>
  <w:num w:numId="190">
    <w:abstractNumId w:val="29941"/>
  </w:num>
  <w:num w:numId="191">
    <w:abstractNumId w:val="29942"/>
  </w:num>
  <w:num w:numId="192">
    <w:abstractNumId w:val="29943"/>
  </w:num>
  <w:num w:numId="193">
    <w:abstractNumId w:val="29944"/>
  </w:num>
  <w:num w:numId="194">
    <w:abstractNumId w:val="29945"/>
  </w:num>
  <w:num w:numId="195">
    <w:abstractNumId w:val="29946"/>
  </w:num>
  <w:num w:numId="196">
    <w:abstractNumId w:val="29947"/>
  </w:num>
  <w:num w:numId="197">
    <w:abstractNumId w:val="29948"/>
  </w:num>
  <w:num w:numId="198">
    <w:abstractNumId w:val="29949"/>
  </w:num>
  <w:num w:numId="199">
    <w:abstractNumId w:val="29950"/>
  </w:num>
  <w:num w:numId="200">
    <w:abstractNumId w:val="29951"/>
  </w:num>
  <w:num w:numId="201">
    <w:abstractNumId w:val="29952"/>
  </w:num>
  <w:num w:numId="202">
    <w:abstractNumId w:val="29953"/>
  </w:num>
  <w:num w:numId="203">
    <w:abstractNumId w:val="29954"/>
  </w:num>
  <w:num w:numId="204">
    <w:abstractNumId w:val="29955"/>
  </w:num>
  <w:num w:numId="205">
    <w:abstractNumId w:val="29956"/>
  </w:num>
  <w:num w:numId="206">
    <w:abstractNumId w:val="29957"/>
  </w:num>
  <w:num w:numId="207">
    <w:abstractNumId w:val="29958"/>
  </w:num>
  <w:num w:numId="208">
    <w:abstractNumId w:val="29959"/>
  </w:num>
  <w:num w:numId="209">
    <w:abstractNumId w:val="29960"/>
  </w:num>
  <w:num w:numId="210">
    <w:abstractNumId w:val="29961"/>
  </w:num>
  <w:num w:numId="211">
    <w:abstractNumId w:val="29962"/>
  </w:num>
  <w:num w:numId="212">
    <w:abstractNumId w:val="29963"/>
  </w:num>
  <w:num w:numId="213">
    <w:abstractNumId w:val="29964"/>
  </w:num>
  <w:num w:numId="214">
    <w:abstractNumId w:val="29965"/>
  </w:num>
  <w:num w:numId="215">
    <w:abstractNumId w:val="29966"/>
  </w:num>
  <w:num w:numId="216">
    <w:abstractNumId w:val="29967"/>
  </w:num>
  <w:num w:numId="217">
    <w:abstractNumId w:val="29968"/>
  </w:num>
  <w:num w:numId="218">
    <w:abstractNumId w:val="29969"/>
  </w:num>
  <w:num w:numId="219">
    <w:abstractNumId w:val="29970"/>
  </w:num>
  <w:num w:numId="220">
    <w:abstractNumId w:val="29971"/>
  </w:num>
  <w:num w:numId="221">
    <w:abstractNumId w:val="29972"/>
  </w:num>
  <w:num w:numId="222">
    <w:abstractNumId w:val="29973"/>
  </w:num>
  <w:num w:numId="223">
    <w:abstractNumId w:val="29974"/>
  </w:num>
  <w:num w:numId="224">
    <w:abstractNumId w:val="29975"/>
  </w:num>
  <w:num w:numId="225">
    <w:abstractNumId w:val="29976"/>
  </w:num>
  <w:num w:numId="226">
    <w:abstractNumId w:val="29977"/>
  </w:num>
  <w:num w:numId="227">
    <w:abstractNumId w:val="29978"/>
  </w:num>
  <w:num w:numId="228">
    <w:abstractNumId w:val="29979"/>
  </w:num>
  <w:num w:numId="229">
    <w:abstractNumId w:val="29980"/>
  </w:num>
  <w:num w:numId="230">
    <w:abstractNumId w:val="29981"/>
  </w:num>
  <w:num w:numId="231">
    <w:abstractNumId w:val="29982"/>
  </w:num>
  <w:num w:numId="232">
    <w:abstractNumId w:val="29983"/>
  </w:num>
  <w:num w:numId="233">
    <w:abstractNumId w:val="29984"/>
  </w:num>
  <w:num w:numId="234">
    <w:abstractNumId w:val="29985"/>
  </w:num>
  <w:num w:numId="235">
    <w:abstractNumId w:val="29986"/>
  </w:num>
  <w:num w:numId="236">
    <w:abstractNumId w:val="29987"/>
  </w:num>
  <w:num w:numId="237">
    <w:abstractNumId w:val="29988"/>
  </w:num>
  <w:num w:numId="238">
    <w:abstractNumId w:val="29989"/>
  </w:num>
  <w:num w:numId="239">
    <w:abstractNumId w:val="29990"/>
  </w:num>
  <w:num w:numId="240">
    <w:abstractNumId w:val="29991"/>
  </w:num>
  <w:num w:numId="241">
    <w:abstractNumId w:val="29992"/>
  </w:num>
  <w:num w:numId="242">
    <w:abstractNumId w:val="29993"/>
  </w:num>
  <w:num w:numId="243">
    <w:abstractNumId w:val="29994"/>
  </w:num>
  <w:num w:numId="244">
    <w:abstractNumId w:val="29995"/>
  </w:num>
  <w:num w:numId="245">
    <w:abstractNumId w:val="29996"/>
  </w:num>
  <w:num w:numId="246">
    <w:abstractNumId w:val="29997"/>
  </w:num>
  <w:num w:numId="247">
    <w:abstractNumId w:val="29998"/>
  </w:num>
  <w:num w:numId="248">
    <w:abstractNumId w:val="29999"/>
  </w:num>
  <w:num w:numId="249">
    <w:abstractNumId w:val="30000"/>
  </w:num>
  <w:num w:numId="250">
    <w:abstractNumId w:val="30001"/>
  </w:num>
  <w:num w:numId="251">
    <w:abstractNumId w:val="30002"/>
  </w:num>
  <w:num w:numId="252">
    <w:abstractNumId w:val="30003"/>
  </w:num>
  <w:num w:numId="253">
    <w:abstractNumId w:val="30004"/>
  </w:num>
  <w:num w:numId="254">
    <w:abstractNumId w:val="30005"/>
  </w:num>
  <w:num w:numId="255">
    <w:abstractNumId w:val="30006"/>
  </w:num>
  <w:num w:numId="256">
    <w:abstractNumId w:val="30007"/>
  </w:num>
  <w:num w:numId="257">
    <w:abstractNumId w:val="30008"/>
  </w:num>
  <w:num w:numId="258">
    <w:abstractNumId w:val="30009"/>
  </w:num>
  <w:num w:numId="259">
    <w:abstractNumId w:val="30010"/>
  </w:num>
  <w:num w:numId="260">
    <w:abstractNumId w:val="30011"/>
  </w:num>
  <w:num w:numId="261">
    <w:abstractNumId w:val="30012"/>
  </w:num>
  <w:num w:numId="262">
    <w:abstractNumId w:val="30013"/>
  </w:num>
  <w:num w:numId="263">
    <w:abstractNumId w:val="30014"/>
  </w:num>
  <w:num w:numId="264">
    <w:abstractNumId w:val="30015"/>
  </w:num>
  <w:num w:numId="265">
    <w:abstractNumId w:val="30016"/>
  </w:num>
  <w:num w:numId="266">
    <w:abstractNumId w:val="30017"/>
  </w:num>
  <w:num w:numId="267">
    <w:abstractNumId w:val="30018"/>
  </w:num>
  <w:num w:numId="268">
    <w:abstractNumId w:val="30019"/>
  </w:num>
  <w:num w:numId="269">
    <w:abstractNumId w:val="30020"/>
  </w:num>
  <w:num w:numId="270">
    <w:abstractNumId w:val="30021"/>
  </w:num>
  <w:num w:numId="271">
    <w:abstractNumId w:val="30022"/>
  </w:num>
  <w:num w:numId="272">
    <w:abstractNumId w:val="30023"/>
  </w:num>
  <w:num w:numId="273">
    <w:abstractNumId w:val="30024"/>
  </w:num>
  <w:num w:numId="274">
    <w:abstractNumId w:val="30025"/>
  </w:num>
  <w:num w:numId="275">
    <w:abstractNumId w:val="30026"/>
  </w:num>
  <w:num w:numId="276">
    <w:abstractNumId w:val="30027"/>
  </w:num>
  <w:num w:numId="277">
    <w:abstractNumId w:val="30028"/>
  </w:num>
  <w:num w:numId="278">
    <w:abstractNumId w:val="30029"/>
  </w:num>
  <w:num w:numId="279">
    <w:abstractNumId w:val="30030"/>
  </w:num>
  <w:num w:numId="280">
    <w:abstractNumId w:val="30031"/>
  </w:num>
  <w:num w:numId="281">
    <w:abstractNumId w:val="30032"/>
  </w:num>
  <w:num w:numId="282">
    <w:abstractNumId w:val="30033"/>
  </w:num>
  <w:num w:numId="283">
    <w:abstractNumId w:val="30034"/>
  </w:num>
  <w:num w:numId="284">
    <w:abstractNumId w:val="30035"/>
  </w:num>
  <w:num w:numId="285">
    <w:abstractNumId w:val="30036"/>
  </w:num>
  <w:num w:numId="286">
    <w:abstractNumId w:val="30037"/>
  </w:num>
  <w:num w:numId="287">
    <w:abstractNumId w:val="30038"/>
  </w:num>
  <w:num w:numId="288">
    <w:abstractNumId w:val="30039"/>
  </w:num>
  <w:num w:numId="289">
    <w:abstractNumId w:val="30040"/>
  </w:num>
  <w:num w:numId="290">
    <w:abstractNumId w:val="30041"/>
  </w:num>
  <w:num w:numId="291">
    <w:abstractNumId w:val="30042"/>
  </w:num>
  <w:num w:numId="292">
    <w:abstractNumId w:val="30043"/>
  </w:num>
  <w:num w:numId="293">
    <w:abstractNumId w:val="30044"/>
  </w:num>
  <w:num w:numId="294">
    <w:abstractNumId w:val="30045"/>
  </w:num>
  <w:num w:numId="295">
    <w:abstractNumId w:val="30046"/>
  </w:num>
  <w:num w:numId="296">
    <w:abstractNumId w:val="30047"/>
  </w:num>
  <w:num w:numId="297">
    <w:abstractNumId w:val="30048"/>
  </w:num>
  <w:num w:numId="298">
    <w:abstractNumId w:val="30049"/>
  </w:num>
  <w:num w:numId="299">
    <w:abstractNumId w:val="30050"/>
  </w:num>
  <w:num w:numId="300">
    <w:abstractNumId w:val="30051"/>
  </w:num>
  <w:num w:numId="301">
    <w:abstractNumId w:val="30052"/>
  </w:num>
  <w:num w:numId="302">
    <w:abstractNumId w:val="30053"/>
  </w:num>
  <w:num w:numId="303">
    <w:abstractNumId w:val="30054"/>
  </w:num>
  <w:num w:numId="304">
    <w:abstractNumId w:val="30055"/>
  </w:num>
  <w:num w:numId="305">
    <w:abstractNumId w:val="30056"/>
  </w:num>
  <w:num w:numId="306">
    <w:abstractNumId w:val="30057"/>
  </w:num>
  <w:num w:numId="307">
    <w:abstractNumId w:val="30058"/>
  </w:num>
  <w:num w:numId="308">
    <w:abstractNumId w:val="30059"/>
  </w:num>
  <w:num w:numId="309">
    <w:abstractNumId w:val="30060"/>
  </w:num>
  <w:num w:numId="310">
    <w:abstractNumId w:val="300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2026-08-06T17:26:14Z</dcterms:created>
  <dc:creator>Apache POI</dc:creator>
</cp:coreProperties>
</file>