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Fixguru Sprint 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Who's Fixguru? 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They sell boxes </w:t>
      </w:r>
      <w:r>
        <w:rPr>
          <w:rFonts w:eastAsia="等线" w:ascii="Arial" w:cs="Arial" w:hAnsi="Arial"/>
          <w:i w:val="true"/>
          <w:sz w:val="22"/>
        </w:rPr>
        <w:t xml:space="preserve">like any type of boxes.... 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Already made boxes 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Custom boxes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Sell to who ?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Small to large businesses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Johnson's childhood friend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Current Business process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Quotation  → Proforma → pick list  → schedule delivery → issue Invoice → Credit Note (if needed)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MAIA Business process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MAIA Business process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Quotation → Sales Order (SO) → Proforma → Delivery Note (DN/DO) → Invoice → Credit Note (if needed)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Order-Centric Record Grouping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MAIA adopts an </w:t>
      </w:r>
      <w:r>
        <w:rPr>
          <w:rFonts w:eastAsia="等线" w:ascii="Arial" w:cs="Arial" w:hAnsi="Arial"/>
          <w:b w:val="true"/>
          <w:sz w:val="22"/>
        </w:rPr>
        <w:t>order-centric record grouping model</w:t>
      </w:r>
      <w:r>
        <w:rPr>
          <w:rFonts w:eastAsia="等线" w:ascii="Arial" w:cs="Arial" w:hAnsi="Arial"/>
          <w:sz w:val="22"/>
        </w:rPr>
        <w:t xml:space="preserve">, where the </w:t>
      </w:r>
      <w:r>
        <w:rPr>
          <w:rFonts w:eastAsia="等线" w:ascii="Arial" w:cs="Arial" w:hAnsi="Arial"/>
          <w:b w:val="true"/>
          <w:sz w:val="22"/>
        </w:rPr>
        <w:t>Sales Order acts as the central record</w:t>
      </w:r>
      <w:r>
        <w:rPr>
          <w:rFonts w:eastAsia="等线" w:ascii="Arial" w:cs="Arial" w:hAnsi="Arial"/>
          <w:sz w:val="22"/>
        </w:rPr>
        <w:t>. All related documents are linked to the SO, providing: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Traceability</w:t>
      </w:r>
      <w:r>
        <w:rPr>
          <w:rFonts w:eastAsia="等线" w:ascii="Arial" w:cs="Arial" w:hAnsi="Arial"/>
          <w:sz w:val="22"/>
        </w:rPr>
        <w:t>: A clear audit trail from quotation to invoice, ensuring every action is tied to a single order reference.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Editability During Proforma Stage</w:t>
      </w:r>
      <w:r>
        <w:rPr>
          <w:rFonts w:eastAsia="等线" w:ascii="Arial" w:cs="Arial" w:hAnsi="Arial"/>
          <w:sz w:val="22"/>
        </w:rPr>
        <w:t xml:space="preserve">: By grouping related documents under the SO, any changes made at the </w:t>
      </w:r>
      <w:r>
        <w:rPr>
          <w:rFonts w:eastAsia="等线" w:ascii="Arial" w:cs="Arial" w:hAnsi="Arial"/>
          <w:b w:val="true"/>
          <w:sz w:val="22"/>
        </w:rPr>
        <w:t>proforma invoice stage</w:t>
      </w:r>
      <w:r>
        <w:rPr>
          <w:rFonts w:eastAsia="等线" w:ascii="Arial" w:cs="Arial" w:hAnsi="Arial"/>
          <w:sz w:val="22"/>
        </w:rPr>
        <w:t xml:space="preserve"> remain easy to edit and manage. This allows teams to refine order details (quantities, pricing, discounts) before finalization.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Final Invoice Accuracy</w:t>
      </w:r>
      <w:r>
        <w:rPr>
          <w:rFonts w:eastAsia="等线" w:ascii="Arial" w:cs="Arial" w:hAnsi="Arial"/>
          <w:sz w:val="22"/>
        </w:rPr>
        <w:t>: The final invoice will always reflect the last agreed-upon version, minimizing errors and disputes.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Invoice Traceability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Every invoice is linked directly back to its originating Sales Order (SO). This means stakeholders can always trace invoices to the specific order they belong to, even in cases where </w:t>
      </w:r>
      <w:r>
        <w:rPr>
          <w:rFonts w:eastAsia="等线" w:ascii="Arial" w:cs="Arial" w:hAnsi="Arial"/>
          <w:b w:val="true"/>
          <w:sz w:val="22"/>
        </w:rPr>
        <w:t>one order may generate multiple invoices</w:t>
      </w:r>
      <w:r>
        <w:rPr>
          <w:rFonts w:eastAsia="等线" w:ascii="Arial" w:cs="Arial" w:hAnsi="Arial"/>
          <w:sz w:val="22"/>
        </w:rPr>
        <w:t xml:space="preserve"> (e.g., partial deliveries or staged billing).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Refund Handling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  <w:shd w:fill="62d256"/>
        </w:rPr>
        <w:t>Refund Note</w:t>
      </w:r>
      <w:r>
        <w:rPr>
          <w:rFonts w:eastAsia="等线" w:ascii="Arial" w:cs="Arial" w:hAnsi="Arial"/>
          <w:sz w:val="22"/>
        </w:rPr>
        <w:t>: Used to record and track refunds or return transactions giving finance team visibility into adjustments.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Credit Note</w:t>
      </w:r>
      <w:r>
        <w:rPr>
          <w:rFonts w:eastAsia="等线" w:ascii="Arial" w:cs="Arial" w:hAnsi="Arial"/>
          <w:sz w:val="22"/>
        </w:rPr>
        <w:t xml:space="preserve">: Only issued </w:t>
      </w:r>
      <w:r>
        <w:rPr>
          <w:rFonts w:eastAsia="等线" w:ascii="Arial" w:cs="Arial" w:hAnsi="Arial"/>
          <w:b w:val="true"/>
          <w:sz w:val="22"/>
        </w:rPr>
        <w:t>after the invoice is finalized</w:t>
      </w:r>
      <w:r>
        <w:rPr>
          <w:rFonts w:eastAsia="等线" w:ascii="Arial" w:cs="Arial" w:hAnsi="Arial"/>
          <w:sz w:val="22"/>
        </w:rPr>
        <w:t>, ensuring compliance with accounting standards and maintaining accurate financial reporting.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List of Documents under 1 </w:t>
      </w:r>
      <w:r>
        <w:rPr>
          <w:rFonts w:eastAsia="等线" w:ascii="Arial" w:cs="Arial" w:hAnsi="Arial"/>
          <w:b w:val="true"/>
          <w:sz w:val="22"/>
        </w:rPr>
        <w:t>Sales Order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4650"/>
      </w:tblGrid>
      <w:tr>
        <w:tc>
          <w:tcPr>
            <w:tcW w:w="61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 of documents under 1 Sales order</w:t>
            </w:r>
          </w:p>
        </w:tc>
        <w:tc>
          <w:tcPr>
            <w:tcW w:w="4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Sales Order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Quotation </w:t>
            </w: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Proforma </w:t>
            </w: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Pick list </w:t>
            </w: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 (DO)</w:t>
            </w: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Trip</w:t>
            </w: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Invoice </w:t>
            </w: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</w:t>
            </w: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Receipt</w:t>
            </w: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Refund Note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Business Process Steps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following steps outline the end-to-end order-to-cash workflow within MAIA, ensuring consistency, traceability, and alignment between sales, logistics, and finance.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Step 1: Quotation Creation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 Sales Representative creates a </w:t>
      </w:r>
      <w:r>
        <w:rPr>
          <w:rFonts w:eastAsia="等线" w:ascii="Arial" w:cs="Arial" w:hAnsi="Arial"/>
          <w:b w:val="true"/>
          <w:sz w:val="22"/>
        </w:rPr>
        <w:t>quotation</w:t>
      </w:r>
      <w:r>
        <w:rPr>
          <w:rFonts w:eastAsia="等线" w:ascii="Arial" w:cs="Arial" w:hAnsi="Arial"/>
          <w:sz w:val="22"/>
        </w:rPr>
        <w:t xml:space="preserve"> to capture initial pricing, terms, and product details for the customer.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document serves as the starting point of the sales lifecycle.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Step 2: Proforma Invoice Generation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 </w:t>
      </w:r>
      <w:r>
        <w:rPr>
          <w:rFonts w:eastAsia="等线" w:ascii="Arial" w:cs="Arial" w:hAnsi="Arial"/>
          <w:b w:val="true"/>
          <w:sz w:val="22"/>
        </w:rPr>
        <w:t>Proforma Invoice</w:t>
      </w:r>
      <w:r>
        <w:rPr>
          <w:rFonts w:eastAsia="等线" w:ascii="Arial" w:cs="Arial" w:hAnsi="Arial"/>
          <w:sz w:val="22"/>
        </w:rPr>
        <w:t xml:space="preserve"> is generated once the quotation is reviewed and the customer provides confirmation.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acts as a formal order confirmation before fulfillment begins.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Step 3: Picklist Preparation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 </w:t>
      </w:r>
      <w:r>
        <w:rPr>
          <w:rFonts w:eastAsia="等线" w:ascii="Arial" w:cs="Arial" w:hAnsi="Arial"/>
          <w:b w:val="true"/>
          <w:sz w:val="22"/>
        </w:rPr>
        <w:t>Picklist</w:t>
      </w:r>
      <w:r>
        <w:rPr>
          <w:rFonts w:eastAsia="等线" w:ascii="Arial" w:cs="Arial" w:hAnsi="Arial"/>
          <w:sz w:val="22"/>
        </w:rPr>
        <w:t xml:space="preserve"> is generated and shared with the warehouse or operations team.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picklist outlines all items, quantities, and storage locations to guide accurate picking and packing.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Step 4: Delivery Note (DO) Creation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 </w:t>
      </w:r>
      <w:r>
        <w:rPr>
          <w:rFonts w:eastAsia="等线" w:ascii="Arial" w:cs="Arial" w:hAnsi="Arial"/>
          <w:b w:val="true"/>
          <w:sz w:val="22"/>
        </w:rPr>
        <w:t>Delivery Note (DO)</w:t>
      </w:r>
      <w:r>
        <w:rPr>
          <w:rFonts w:eastAsia="等线" w:ascii="Arial" w:cs="Arial" w:hAnsi="Arial"/>
          <w:sz w:val="22"/>
        </w:rPr>
        <w:t xml:space="preserve"> is generated once items are picked and packed.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DO serves as the official record of goods ready to be shipped.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Step 5: Delivery Trip &amp; Shipment Scheduling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 </w:t>
      </w:r>
      <w:r>
        <w:rPr>
          <w:rFonts w:eastAsia="等线" w:ascii="Arial" w:cs="Arial" w:hAnsi="Arial"/>
          <w:b w:val="true"/>
          <w:sz w:val="22"/>
        </w:rPr>
        <w:t>Delivery Trip</w:t>
      </w:r>
      <w:r>
        <w:rPr>
          <w:rFonts w:eastAsia="等线" w:ascii="Arial" w:cs="Arial" w:hAnsi="Arial"/>
          <w:sz w:val="22"/>
        </w:rPr>
        <w:t xml:space="preserve"> is created to consolidate all Delivery Notes scheduled for dispatch within the same day.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document enables drivers and logistics teams to efficiently manage deliveries across multiple orders.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 xml:space="preserve">Step 6: Invoice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Once delivery is completed, a final </w:t>
      </w:r>
      <w:r>
        <w:rPr>
          <w:rFonts w:eastAsia="等线" w:ascii="Arial" w:cs="Arial" w:hAnsi="Arial"/>
          <w:b w:val="true"/>
          <w:sz w:val="22"/>
        </w:rPr>
        <w:t>invoice</w:t>
      </w:r>
      <w:r>
        <w:rPr>
          <w:rFonts w:eastAsia="等线" w:ascii="Arial" w:cs="Arial" w:hAnsi="Arial"/>
          <w:sz w:val="22"/>
        </w:rPr>
        <w:t xml:space="preserve"> is generated.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invoice reflects the agreed terms, final product quantities, and payment requirements, serving as the legal and financial record of the transaction.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Customization points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API Integrations</w:t>
      </w:r>
      <w:bookmarkEnd w:id="6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Direct integration with third-party systems such as CRMs and ERPs.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Initial integration target: </w:t>
      </w:r>
      <w:r>
        <w:rPr>
          <w:rFonts w:eastAsia="等线" w:ascii="Arial" w:cs="Arial" w:hAnsi="Arial"/>
          <w:b w:val="true"/>
          <w:sz w:val="22"/>
        </w:rPr>
        <w:t>AutoCount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Warehouse Management System (WMS) integration</w:t>
      </w:r>
      <w:r>
        <w:rPr>
          <w:rFonts w:eastAsia="等线" w:ascii="Arial" w:cs="Arial" w:hAnsi="Arial"/>
          <w:sz w:val="22"/>
        </w:rPr>
        <w:t xml:space="preserve"> for inventory sync and operational alignment.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Workflow Automation</w:t>
      </w:r>
      <w:bookmarkEnd w:id="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 of key processes unique to the client’s operations, e.g.: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Automatic creation of a </w:t>
      </w:r>
      <w:r>
        <w:rPr>
          <w:rFonts w:eastAsia="等线" w:ascii="Arial" w:cs="Arial" w:hAnsi="Arial"/>
          <w:b w:val="true"/>
          <w:sz w:val="22"/>
        </w:rPr>
        <w:t>Delivery Note (DO)</w:t>
      </w:r>
      <w:r>
        <w:rPr>
          <w:rFonts w:eastAsia="等线" w:ascii="Arial" w:cs="Arial" w:hAnsi="Arial"/>
          <w:sz w:val="22"/>
        </w:rPr>
        <w:t xml:space="preserve"> upon finalization of a Sales Order.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UI/UX Modifications</w:t>
      </w:r>
      <w:bookmarkEnd w:id="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Tailored dashboards and analytics to enhance usability, such as: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Overall sales overview.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Outstanding payments monitoring.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Custom Modules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Calculation Logic</w:t>
      </w:r>
      <w:bookmarkEnd w:id="10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Custom Box Quotation calculation Module</w:t>
      </w:r>
      <w:r>
        <w:rPr>
          <w:rFonts w:eastAsia="等线" w:ascii="Arial" w:cs="Arial" w:hAnsi="Arial"/>
          <w:b w:val="true"/>
          <w:sz w:val="28"/>
        </w:rPr>
        <w:t xml:space="preserve"> designed based on IAM’s Excel models: </w:t>
      </w:r>
      <w:hyperlink r:id="rId7">
        <w:r>
          <w:rPr>
            <w:rFonts w:eastAsia="等线" w:ascii="Arial" w:cs="Arial" w:hAnsi="Arial"/>
            <w:b w:val="true"/>
            <w:color w:val="3370ff"/>
            <w:sz w:val="28"/>
          </w:rPr>
          <w:t>RSC Box Calculator</w:t>
        </w:r>
      </w:hyperlink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[RSC Custom Made Calculation.pdf]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RSC Sheet (calculation logic provided by IAM Worldwide Sdn Bhd).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[Custom Made - RSC 1024 (1).xlsx]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Diecut Sheet (calculation logic provided by IAM Worldwide Sdn Bhd).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[Custom Made - Diecut 0825.xlsx]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 xml:space="preserve">Chatbot 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ERP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Approval Processes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MAIA incorporates a robust approval workflow engine to safeguard compliance and ensure management oversight across critical business processes. Approvals are not tied to individual users but instead operate on a </w:t>
      </w:r>
      <w:r>
        <w:rPr>
          <w:rFonts w:eastAsia="等线" w:ascii="Arial" w:cs="Arial" w:hAnsi="Arial"/>
          <w:b w:val="true"/>
          <w:sz w:val="22"/>
        </w:rPr>
        <w:t>role-based model</w:t>
      </w:r>
      <w:r>
        <w:rPr>
          <w:rFonts w:eastAsia="等线" w:ascii="Arial" w:cs="Arial" w:hAnsi="Arial"/>
          <w:sz w:val="22"/>
        </w:rPr>
        <w:t>, meaning any user assigned to the designated role group can perform the required approval. This ensures flexibility, accountability, and continuity even if specific users are unavailable.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35"/>
        <w:gridCol w:w="3585"/>
        <w:gridCol w:w="1860"/>
      </w:tblGrid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 process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Triggers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needs to approve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 / Sales Order approval when selling price falls below minimum threshold.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Selling price &lt; minumum price (get from autocount)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Management 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 approval required if a customer approaches their credit limit prior to creating a Sales Order.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 reminder at 80% 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Management 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Note(DO) approval required if the Delivery Note or Deliver Note items differ from the original Sales Order.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 Product item != Sales Order Product items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Sales 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Note(DO) Approval required if the order is Cash payment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Payment to confirm before issue DO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How to confirm payment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Once customer confirmed with signature, then only it will be deemed as confirmed sales and proceed to issue packing list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Sales 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Management </w:t>
            </w: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terms to follow customer credit terms (any outstanding payment following their credit term will need to be sent to get approval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Credit customer who has outstanding payment from their existing credit term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Quotation / Sales Order approval when selling price falls below minimum threshold.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Management 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62d256"/>
              </w:rPr>
              <w:t>Get from autocount from "Stock Item"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Management approval required if a customer approaches their credit limit prior to creating a Sales Order.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Set reminder at 80% 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Delivery Note(DO) approval required if the Delivery Note or Deliver Note items differ from the original Sales Order.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Admin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Reminder sent to sales and management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Delivery Note(DO) Approval required if the order is Cash payment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Admin and </w:t>
            </w:r>
            <w:r>
              <w:rPr>
                <w:rFonts w:eastAsia="等线" w:ascii="Arial" w:cs="Arial" w:hAnsi="Arial"/>
                <w:color w:val="646a73"/>
                <w:sz w:val="22"/>
                <w:shd w:fill="62d256"/>
              </w:rPr>
              <w:t>management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Cash cus to pay before issue DO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Credit terms to follow customer credit terms (any outstanding payment following thier credit term will need to send got approval)&lt;--- Management for approval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Custom Notification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Automated reminders to drive timely actions and improve operational efficiency: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 is sent to dedicated user( order process)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 availability notifications.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3480"/>
        <w:gridCol w:w="1845"/>
        <w:gridCol w:w="115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Notifications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Scenarios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Triggers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 to siapa?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 stock product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Notification trigger when item is low in stock 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When </w:t>
            </w:r>
            <w:r>
              <w:rPr>
                <w:rFonts w:eastAsia="等线" w:ascii="Arial" w:cs="Arial" w:hAnsi="Arial"/>
                <w:sz w:val="22"/>
              </w:rPr>
              <w:t xml:space="preserve">the </w:t>
            </w:r>
            <w:r>
              <w:rPr>
                <w:rFonts w:eastAsia="等线" w:ascii="Arial" w:cs="Arial" w:hAnsi="Arial"/>
                <w:sz w:val="22"/>
              </w:rPr>
              <w:t xml:space="preserve">item is at the lowest minimum threshold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Explore to see whether you can explore using the Past 3 Months average sales quantity as the threshold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</w:t>
              <w:br/>
            </w:r>
            <w:r>
              <w:rPr>
                <w:rFonts w:eastAsia="等线" w:ascii="Arial" w:cs="Arial" w:hAnsi="Arial"/>
                <w:sz w:val="22"/>
              </w:rPr>
              <w:t xml:space="preserve">Admin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out of stock product 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 triggers when item is out of stock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Product quantity  = 0 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</w:t>
              <w:br/>
            </w:r>
            <w:r>
              <w:rPr>
                <w:rFonts w:eastAsia="等线" w:ascii="Arial" w:cs="Arial" w:hAnsi="Arial"/>
                <w:sz w:val="22"/>
              </w:rPr>
              <w:t xml:space="preserve">Admin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</w:t>
            </w:r>
          </w:p>
        </w:tc>
      </w:tr>
    </w:tbl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status updates.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513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Status 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Status sent to whom ? 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Packing </w:t>
            </w:r>
          </w:p>
        </w:tc>
        <w:tc>
          <w:tcPr>
            <w:tcW w:w="51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i w:val="true"/>
                <w:sz w:val="22"/>
              </w:rPr>
              <w:t>Dedic</w:t>
            </w:r>
            <w:r>
              <w:rPr>
                <w:rFonts w:eastAsia="等线" w:ascii="Arial" w:cs="Arial" w:hAnsi="Arial"/>
                <w:b w:val="true"/>
                <w:i w:val="true"/>
                <w:sz w:val="22"/>
              </w:rPr>
              <w:t>ated Sales agent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Packed </w:t>
            </w:r>
          </w:p>
        </w:tc>
        <w:tc>
          <w:tcPr>
            <w:tcW w:w="5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Schdeuled </w:t>
            </w:r>
          </w:p>
        </w:tc>
        <w:tc>
          <w:tcPr>
            <w:tcW w:w="5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loading </w:t>
            </w:r>
          </w:p>
        </w:tc>
        <w:tc>
          <w:tcPr>
            <w:tcW w:w="5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 for delivery</w:t>
            </w:r>
          </w:p>
        </w:tc>
        <w:tc>
          <w:tcPr>
            <w:tcW w:w="5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Delivered </w:t>
            </w:r>
          </w:p>
        </w:tc>
        <w:tc>
          <w:tcPr>
            <w:tcW w:w="5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Follow-up reminders for quotations. 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Alerts if Sales Order is not converted to DO within 7 days.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Dedicated sales agent reminder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20"/>
        <w:gridCol w:w="3090"/>
        <w:gridCol w:w="1320"/>
      </w:tblGrid>
      <w:tr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Reminder to sent 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Triggers 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Status sent to whom ? </w:t>
            </w:r>
          </w:p>
        </w:tc>
      </w:tr>
      <w:tr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Alerts if Sales Order is not converted to DO within 7 days.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Delivery note created after 7 Days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 (User Specific)</w:t>
            </w:r>
          </w:p>
        </w:tc>
      </w:tr>
    </w:tbl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Customer inactivity reminders (no orders for </w:t>
      </w:r>
      <w:r>
        <w:rPr>
          <w:rFonts w:eastAsia="等线" w:ascii="Arial" w:cs="Arial" w:hAnsi="Arial"/>
          <w:sz w:val="22"/>
          <w:shd w:fill="62d256"/>
        </w:rPr>
        <w:t>every 30 days</w:t>
      </w:r>
      <w:r>
        <w:rPr>
          <w:rFonts w:eastAsia="等线" w:ascii="Arial" w:cs="Arial" w:hAnsi="Arial"/>
          <w:sz w:val="22"/>
        </w:rPr>
        <w:t>). From last invoice date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258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often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Triggers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receives notification ?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 it user specific ?</w:t>
            </w:r>
          </w:p>
        </w:tc>
      </w:tr>
      <w:tr>
        <w:tc>
          <w:tcPr>
            <w:tcW w:w="1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30 days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60 days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 days</w:t>
            </w:r>
          </w:p>
        </w:tc>
        <w:tc>
          <w:tcPr>
            <w:tcW w:w="1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Eg. Event or Schedule</w:t>
            </w:r>
          </w:p>
        </w:tc>
        <w:tc>
          <w:tcPr>
            <w:tcW w:w="25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eg.Sales agent</w:t>
            </w:r>
          </w:p>
        </w:tc>
        <w:tc>
          <w:tcPr>
            <w:tcW w:w="1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Eg. Yes</w:t>
            </w: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Outstanding payment reminders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Credit term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Credit limit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62d256"/>
        </w:rPr>
        <w:t>Any outstanding payment of the respective customers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35"/>
        <w:gridCol w:w="1095"/>
        <w:gridCol w:w="2670"/>
        <w:gridCol w:w="181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Status 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Triggers 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Scenarios 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receives notification ?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outstanding payments nearing end of Credit terms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Event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days before end of credit term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Dedicated Sales agent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alerts for customers almost exceeding their limit.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80% credit limit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Dedicated Sales agent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Reminder for Overpaid customer 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Overpaid amount &gt; 0 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Dedicated Sales agent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Dedicated Sales Agent reminders to send a copy of invoice to customers once delivery is completed 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final invoice is generated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Dedicated Sales agent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Inventory Management (Baseline &amp; Integration)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Objective:</w:t>
      </w:r>
      <w:r>
        <w:rPr>
          <w:rFonts w:eastAsia="等线" w:ascii="Arial" w:cs="Arial" w:hAnsi="Arial"/>
          <w:sz w:val="22"/>
        </w:rPr>
        <w:t xml:space="preserve"> Ensure accurate stock availability throughout the order-to-fulfillment cycle, while keeping accounting stock authoritative in AutoCount (or integrated systems).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Stock Tracking Steps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SKU Synchronization:</w:t>
      </w:r>
      <w:r>
        <w:rPr>
          <w:rFonts w:eastAsia="等线" w:ascii="Arial" w:cs="Arial" w:hAnsi="Arial"/>
          <w:sz w:val="22"/>
        </w:rPr>
        <w:t xml:space="preserve"> Sync </w:t>
      </w:r>
      <w:r>
        <w:rPr>
          <w:rFonts w:eastAsia="等线" w:ascii="Arial" w:cs="Arial" w:hAnsi="Arial"/>
          <w:b w:val="true"/>
          <w:sz w:val="22"/>
        </w:rPr>
        <w:t>unique SKUs</w:t>
      </w:r>
      <w:r>
        <w:rPr>
          <w:rFonts w:eastAsia="等线" w:ascii="Arial" w:cs="Arial" w:hAnsi="Arial"/>
          <w:sz w:val="22"/>
        </w:rPr>
        <w:t xml:space="preserve"> (catalog/inventory master) from the Warehouse Management System (WMS) or accounting system into MAIA.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Quantity Ownership:</w:t>
      </w:r>
      <w:r>
        <w:rPr>
          <w:rFonts w:eastAsia="等线" w:ascii="Arial" w:cs="Arial" w:hAnsi="Arial"/>
          <w:sz w:val="22"/>
        </w:rPr>
        <w:t xml:space="preserve"> MAIA </w:t>
      </w:r>
      <w:r>
        <w:rPr>
          <w:rFonts w:eastAsia="等线" w:ascii="Arial" w:cs="Arial" w:hAnsi="Arial"/>
          <w:b w:val="true"/>
          <w:sz w:val="22"/>
        </w:rPr>
        <w:t>does not maintain stock count</w:t>
      </w:r>
      <w:r>
        <w:rPr>
          <w:rFonts w:eastAsia="等线" w:ascii="Arial" w:cs="Arial" w:hAnsi="Arial"/>
          <w:sz w:val="22"/>
        </w:rPr>
        <w:t xml:space="preserve"> as the system of record; quantities remain authoritative in AutoCount/WMS.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Real-Time Validation:</w:t>
      </w:r>
      <w:r>
        <w:rPr>
          <w:rFonts w:eastAsia="等线" w:ascii="Arial" w:cs="Arial" w:hAnsi="Arial"/>
          <w:sz w:val="22"/>
        </w:rPr>
        <w:t xml:space="preserve"> During SO/DN creation, MAIA </w:t>
      </w:r>
      <w:r>
        <w:rPr>
          <w:rFonts w:eastAsia="等线" w:ascii="Arial" w:cs="Arial" w:hAnsi="Arial"/>
          <w:b w:val="true"/>
          <w:sz w:val="22"/>
        </w:rPr>
        <w:t>validates stock quantity</w:t>
      </w:r>
      <w:r>
        <w:rPr>
          <w:rFonts w:eastAsia="等线" w:ascii="Arial" w:cs="Arial" w:hAnsi="Arial"/>
          <w:sz w:val="22"/>
        </w:rPr>
        <w:t xml:space="preserve"> against AutoCount (or WMS) to prevent oversell.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Delivery Note Creation:</w:t>
      </w:r>
      <w:r>
        <w:rPr>
          <w:rFonts w:eastAsia="等线" w:ascii="Arial" w:cs="Arial" w:hAnsi="Arial"/>
          <w:sz w:val="22"/>
        </w:rPr>
        <w:t xml:space="preserve"> Delivery note (DO) issuance </w:t>
      </w:r>
      <w:r>
        <w:rPr>
          <w:rFonts w:eastAsia="等线" w:ascii="Arial" w:cs="Arial" w:hAnsi="Arial"/>
          <w:b w:val="true"/>
          <w:sz w:val="22"/>
        </w:rPr>
        <w:t>reflects into AutoCount immediately</w:t>
      </w:r>
      <w:r>
        <w:rPr>
          <w:rFonts w:eastAsia="等线" w:ascii="Arial" w:cs="Arial" w:hAnsi="Arial"/>
          <w:sz w:val="22"/>
        </w:rPr>
        <w:t xml:space="preserve"> (created on the spot) to keep inventory movement aligned.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stock returns from Return Note - push back into Autocount "Sales - Delivery Returns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Day-to-day </w:t>
      </w:r>
      <w:r>
        <w:rPr>
          <w:rFonts w:eastAsia="等线" w:ascii="Arial" w:cs="Arial" w:hAnsi="Arial"/>
          <w:b w:val="true"/>
          <w:sz w:val="22"/>
        </w:rPr>
        <w:t>stock movements are tracked through orders</w:t>
      </w:r>
      <w:r>
        <w:rPr>
          <w:rFonts w:eastAsia="等线" w:ascii="Arial" w:cs="Arial" w:hAnsi="Arial"/>
          <w:sz w:val="22"/>
        </w:rPr>
        <w:t xml:space="preserve"> in MAIA for operational visibility; </w:t>
      </w:r>
      <w:r>
        <w:rPr>
          <w:rFonts w:eastAsia="等线" w:ascii="Arial" w:cs="Arial" w:hAnsi="Arial"/>
          <w:b w:val="true"/>
          <w:sz w:val="22"/>
        </w:rPr>
        <w:t>replenishment/restock</w:t>
      </w:r>
      <w:r>
        <w:rPr>
          <w:rFonts w:eastAsia="等线" w:ascii="Arial" w:cs="Arial" w:hAnsi="Arial"/>
          <w:sz w:val="22"/>
        </w:rPr>
        <w:t xml:space="preserve"> is </w:t>
      </w:r>
      <w:r>
        <w:rPr>
          <w:rFonts w:eastAsia="等线" w:ascii="Arial" w:cs="Arial" w:hAnsi="Arial"/>
          <w:b w:val="true"/>
          <w:sz w:val="22"/>
        </w:rPr>
        <w:t>performed in AutoCount/WMS</w:t>
      </w:r>
      <w:r>
        <w:rPr>
          <w:rFonts w:eastAsia="等线" w:ascii="Arial" w:cs="Arial" w:hAnsi="Arial"/>
          <w:sz w:val="22"/>
        </w:rPr>
        <w:t xml:space="preserve"> and can be pulled into MAIA via sync.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Optional enhancements: safety stock rules, low-stock alerts, channel allocation rules, and per-outlet availability displays.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240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1190">
    <w:lvl>
      <w:numFmt w:val="bullet"/>
      <w:suff w:val="tab"/>
      <w:lvlText w:val="•"/>
      <w:rPr>
        <w:color w:val="3370ff"/>
      </w:rPr>
    </w:lvl>
  </w:abstractNum>
  <w:abstractNum w:abstractNumId="841191">
    <w:lvl>
      <w:numFmt w:val="bullet"/>
      <w:suff w:val="tab"/>
      <w:lvlText w:val="￮"/>
      <w:rPr>
        <w:color w:val="3370ff"/>
      </w:rPr>
    </w:lvl>
  </w:abstractNum>
  <w:abstractNum w:abstractNumId="841192">
    <w:lvl>
      <w:numFmt w:val="bullet"/>
      <w:suff w:val="tab"/>
      <w:lvlText w:val="￮"/>
      <w:rPr>
        <w:color w:val="3370ff"/>
      </w:rPr>
    </w:lvl>
  </w:abstractNum>
  <w:abstractNum w:abstractNumId="841193">
    <w:lvl>
      <w:numFmt w:val="bullet"/>
      <w:suff w:val="tab"/>
      <w:lvlText w:val="•"/>
      <w:rPr>
        <w:color w:val="3370ff"/>
      </w:rPr>
    </w:lvl>
  </w:abstractNum>
  <w:abstractNum w:abstractNumId="841194">
    <w:lvl>
      <w:numFmt w:val="bullet"/>
      <w:suff w:val="tab"/>
      <w:lvlText w:val="￮"/>
      <w:rPr>
        <w:color w:val="3370ff"/>
      </w:rPr>
    </w:lvl>
  </w:abstractNum>
  <w:abstractNum w:abstractNumId="841195">
    <w:lvl>
      <w:numFmt w:val="bullet"/>
      <w:suff w:val="tab"/>
      <w:lvlText w:val="•"/>
      <w:rPr>
        <w:color w:val="3370ff"/>
      </w:rPr>
    </w:lvl>
  </w:abstractNum>
  <w:abstractNum w:abstractNumId="841196">
    <w:lvl>
      <w:numFmt w:val="bullet"/>
      <w:suff w:val="tab"/>
      <w:lvlText w:val="•"/>
      <w:rPr>
        <w:color w:val="3370ff"/>
      </w:rPr>
    </w:lvl>
  </w:abstractNum>
  <w:abstractNum w:abstractNumId="841197">
    <w:lvl>
      <w:numFmt w:val="bullet"/>
      <w:suff w:val="tab"/>
      <w:lvlText w:val="•"/>
      <w:rPr>
        <w:color w:val="3370ff"/>
      </w:rPr>
    </w:lvl>
  </w:abstractNum>
  <w:abstractNum w:abstractNumId="841198">
    <w:lvl>
      <w:numFmt w:val="bullet"/>
      <w:suff w:val="tab"/>
      <w:lvlText w:val="•"/>
      <w:rPr>
        <w:color w:val="3370ff"/>
      </w:rPr>
    </w:lvl>
  </w:abstractNum>
  <w:abstractNum w:abstractNumId="841199">
    <w:lvl>
      <w:numFmt w:val="bullet"/>
      <w:suff w:val="tab"/>
      <w:lvlText w:val="￮"/>
      <w:rPr>
        <w:color w:val="3370ff"/>
      </w:rPr>
    </w:lvl>
  </w:abstractNum>
  <w:abstractNum w:abstractNumId="841200">
    <w:lvl>
      <w:numFmt w:val="bullet"/>
      <w:suff w:val="tab"/>
      <w:lvlText w:val="•"/>
      <w:rPr>
        <w:color w:val="3370ff"/>
      </w:rPr>
    </w:lvl>
  </w:abstractNum>
  <w:abstractNum w:abstractNumId="841201">
    <w:lvl>
      <w:numFmt w:val="bullet"/>
      <w:suff w:val="tab"/>
      <w:lvlText w:val="￮"/>
      <w:rPr>
        <w:color w:val="3370ff"/>
      </w:rPr>
    </w:lvl>
  </w:abstractNum>
  <w:abstractNum w:abstractNumId="841202">
    <w:lvl>
      <w:numFmt w:val="bullet"/>
      <w:suff w:val="tab"/>
      <w:lvlText w:val="￮"/>
      <w:rPr>
        <w:color w:val="3370ff"/>
      </w:rPr>
    </w:lvl>
  </w:abstractNum>
  <w:abstractNum w:abstractNumId="841203">
    <w:lvl>
      <w:numFmt w:val="bullet"/>
      <w:suff w:val="tab"/>
      <w:lvlText w:val="•"/>
      <w:rPr>
        <w:color w:val="3370ff"/>
      </w:rPr>
    </w:lvl>
  </w:abstractNum>
  <w:abstractNum w:abstractNumId="841204">
    <w:lvl>
      <w:numFmt w:val="bullet"/>
      <w:suff w:val="tab"/>
      <w:lvlText w:val="•"/>
      <w:rPr>
        <w:color w:val="3370ff"/>
      </w:rPr>
    </w:lvl>
  </w:abstractNum>
  <w:abstractNum w:abstractNumId="841205">
    <w:lvl>
      <w:numFmt w:val="bullet"/>
      <w:suff w:val="tab"/>
      <w:lvlText w:val="•"/>
      <w:rPr>
        <w:color w:val="3370ff"/>
      </w:rPr>
    </w:lvl>
  </w:abstractNum>
  <w:abstractNum w:abstractNumId="841206">
    <w:lvl>
      <w:numFmt w:val="bullet"/>
      <w:suff w:val="tab"/>
      <w:lvlText w:val="•"/>
      <w:rPr>
        <w:color w:val="3370ff"/>
      </w:rPr>
    </w:lvl>
  </w:abstractNum>
  <w:abstractNum w:abstractNumId="841207">
    <w:lvl>
      <w:numFmt w:val="bullet"/>
      <w:suff w:val="tab"/>
      <w:lvlText w:val="•"/>
      <w:rPr>
        <w:color w:val="3370ff"/>
      </w:rPr>
    </w:lvl>
  </w:abstractNum>
  <w:abstractNum w:abstractNumId="841208">
    <w:lvl>
      <w:numFmt w:val="bullet"/>
      <w:suff w:val="tab"/>
      <w:lvlText w:val="•"/>
      <w:rPr>
        <w:color w:val="3370ff"/>
      </w:rPr>
    </w:lvl>
  </w:abstractNum>
  <w:abstractNum w:abstractNumId="841209">
    <w:lvl>
      <w:numFmt w:val="bullet"/>
      <w:suff w:val="tab"/>
      <w:lvlText w:val="•"/>
      <w:rPr>
        <w:color w:val="3370ff"/>
      </w:rPr>
    </w:lvl>
  </w:abstractNum>
  <w:abstractNum w:abstractNumId="841210">
    <w:lvl>
      <w:numFmt w:val="bullet"/>
      <w:suff w:val="tab"/>
      <w:lvlText w:val="•"/>
      <w:rPr>
        <w:color w:val="3370ff"/>
      </w:rPr>
    </w:lvl>
  </w:abstractNum>
  <w:abstractNum w:abstractNumId="841211">
    <w:lvl>
      <w:numFmt w:val="bullet"/>
      <w:suff w:val="tab"/>
      <w:lvlText w:val="•"/>
      <w:rPr>
        <w:color w:val="3370ff"/>
      </w:rPr>
    </w:lvl>
  </w:abstractNum>
  <w:abstractNum w:abstractNumId="841212">
    <w:lvl>
      <w:numFmt w:val="bullet"/>
      <w:suff w:val="tab"/>
      <w:lvlText w:val="•"/>
      <w:rPr>
        <w:color w:val="3370ff"/>
      </w:rPr>
    </w:lvl>
  </w:abstractNum>
  <w:abstractNum w:abstractNumId="841213">
    <w:lvl>
      <w:numFmt w:val="bullet"/>
      <w:suff w:val="tab"/>
      <w:lvlText w:val="•"/>
      <w:rPr>
        <w:color w:val="3370ff"/>
      </w:rPr>
    </w:lvl>
  </w:abstractNum>
  <w:abstractNum w:abstractNumId="841214">
    <w:lvl>
      <w:numFmt w:val="bullet"/>
      <w:suff w:val="tab"/>
      <w:lvlText w:val="•"/>
      <w:rPr>
        <w:color w:val="3370ff"/>
      </w:rPr>
    </w:lvl>
  </w:abstractNum>
  <w:abstractNum w:abstractNumId="841215">
    <w:lvl>
      <w:numFmt w:val="bullet"/>
      <w:suff w:val="tab"/>
      <w:lvlText w:val="•"/>
      <w:rPr>
        <w:color w:val="3370ff"/>
      </w:rPr>
    </w:lvl>
  </w:abstractNum>
  <w:abstractNum w:abstractNumId="841216">
    <w:lvl>
      <w:numFmt w:val="bullet"/>
      <w:suff w:val="tab"/>
      <w:lvlText w:val="•"/>
      <w:rPr>
        <w:color w:val="3370ff"/>
      </w:rPr>
    </w:lvl>
  </w:abstractNum>
  <w:abstractNum w:abstractNumId="841217">
    <w:lvl>
      <w:numFmt w:val="bullet"/>
      <w:suff w:val="tab"/>
      <w:lvlText w:val="•"/>
      <w:rPr>
        <w:color w:val="3370ff"/>
      </w:rPr>
    </w:lvl>
  </w:abstractNum>
  <w:abstractNum w:abstractNumId="841218">
    <w:lvl>
      <w:numFmt w:val="bullet"/>
      <w:suff w:val="tab"/>
      <w:lvlText w:val="•"/>
      <w:rPr>
        <w:color w:val="3370ff"/>
      </w:rPr>
    </w:lvl>
  </w:abstractNum>
  <w:abstractNum w:abstractNumId="841219">
    <w:lvl>
      <w:numFmt w:val="bullet"/>
      <w:suff w:val="tab"/>
      <w:lvlText w:val="•"/>
      <w:rPr>
        <w:color w:val="3370ff"/>
      </w:rPr>
    </w:lvl>
  </w:abstractNum>
  <w:abstractNum w:abstractNumId="841220">
    <w:lvl>
      <w:numFmt w:val="bullet"/>
      <w:suff w:val="tab"/>
      <w:lvlText w:val="￮"/>
      <w:rPr>
        <w:color w:val="3370ff"/>
      </w:rPr>
    </w:lvl>
  </w:abstractNum>
  <w:abstractNum w:abstractNumId="841221">
    <w:lvl>
      <w:numFmt w:val="bullet"/>
      <w:suff w:val="tab"/>
      <w:lvlText w:val="•"/>
      <w:rPr>
        <w:color w:val="3370ff"/>
      </w:rPr>
    </w:lvl>
  </w:abstractNum>
  <w:abstractNum w:abstractNumId="841222">
    <w:lvl>
      <w:numFmt w:val="bullet"/>
      <w:suff w:val="tab"/>
      <w:lvlText w:val="￮"/>
      <w:rPr>
        <w:color w:val="3370ff"/>
      </w:rPr>
    </w:lvl>
  </w:abstractNum>
  <w:abstractNum w:abstractNumId="841223">
    <w:lvl>
      <w:numFmt w:val="bullet"/>
      <w:suff w:val="tab"/>
      <w:lvlText w:val="￮"/>
      <w:rPr>
        <w:color w:val="3370ff"/>
      </w:rPr>
    </w:lvl>
  </w:abstractNum>
  <w:abstractNum w:abstractNumId="841224">
    <w:lvl>
      <w:numFmt w:val="bullet"/>
      <w:suff w:val="tab"/>
      <w:lvlText w:val="•"/>
      <w:rPr>
        <w:color w:val="3370ff"/>
      </w:rPr>
    </w:lvl>
  </w:abstractNum>
  <w:abstractNum w:abstractNumId="841225">
    <w:lvl>
      <w:numFmt w:val="bullet"/>
      <w:suff w:val="tab"/>
      <w:lvlText w:val="•"/>
      <w:rPr>
        <w:color w:val="3370ff"/>
      </w:rPr>
    </w:lvl>
  </w:abstractNum>
  <w:abstractNum w:abstractNumId="841226">
    <w:lvl>
      <w:numFmt w:val="bullet"/>
      <w:suff w:val="tab"/>
      <w:lvlText w:val="•"/>
      <w:rPr>
        <w:color w:val="3370ff"/>
      </w:rPr>
    </w:lvl>
  </w:abstractNum>
  <w:abstractNum w:abstractNumId="841227">
    <w:lvl>
      <w:numFmt w:val="bullet"/>
      <w:suff w:val="tab"/>
      <w:lvlText w:val="•"/>
      <w:rPr>
        <w:color w:val="3370ff"/>
      </w:rPr>
    </w:lvl>
  </w:abstractNum>
  <w:abstractNum w:abstractNumId="841228">
    <w:lvl>
      <w:numFmt w:val="bullet"/>
      <w:suff w:val="tab"/>
      <w:lvlText w:val="•"/>
      <w:rPr>
        <w:color w:val="3370ff"/>
      </w:rPr>
    </w:lvl>
  </w:abstractNum>
  <w:abstractNum w:abstractNumId="841229">
    <w:lvl>
      <w:numFmt w:val="bullet"/>
      <w:suff w:val="tab"/>
      <w:lvlText w:val="•"/>
      <w:rPr>
        <w:color w:val="3370ff"/>
      </w:rPr>
    </w:lvl>
  </w:abstractNum>
  <w:abstractNum w:abstractNumId="841230">
    <w:lvl>
      <w:numFmt w:val="bullet"/>
      <w:suff w:val="tab"/>
      <w:lvlText w:val="•"/>
      <w:rPr>
        <w:color w:val="3370ff"/>
      </w:rPr>
    </w:lvl>
  </w:abstractNum>
  <w:abstractNum w:abstractNumId="841231">
    <w:lvl>
      <w:numFmt w:val="bullet"/>
      <w:suff w:val="tab"/>
      <w:lvlText w:val="•"/>
      <w:rPr>
        <w:color w:val="3370ff"/>
      </w:rPr>
    </w:lvl>
  </w:abstractNum>
  <w:abstractNum w:abstractNumId="841232">
    <w:lvl>
      <w:numFmt w:val="bullet"/>
      <w:suff w:val="tab"/>
      <w:lvlText w:val="•"/>
      <w:rPr>
        <w:color w:val="3370ff"/>
      </w:rPr>
    </w:lvl>
  </w:abstractNum>
  <w:abstractNum w:abstractNumId="841233">
    <w:lvl>
      <w:numFmt w:val="bullet"/>
      <w:suff w:val="tab"/>
      <w:lvlText w:val="•"/>
      <w:rPr>
        <w:color w:val="3370ff"/>
      </w:rPr>
    </w:lvl>
  </w:abstractNum>
  <w:abstractNum w:abstractNumId="841234">
    <w:lvl>
      <w:numFmt w:val="bullet"/>
      <w:suff w:val="tab"/>
      <w:lvlText w:val="•"/>
      <w:rPr>
        <w:color w:val="3370ff"/>
      </w:rPr>
    </w:lvl>
  </w:abstractNum>
  <w:abstractNum w:abstractNumId="841235">
    <w:lvl>
      <w:numFmt w:val="bullet"/>
      <w:suff w:val="tab"/>
      <w:lvlText w:val="•"/>
      <w:rPr>
        <w:color w:val="3370ff"/>
      </w:rPr>
    </w:lvl>
  </w:abstractNum>
  <w:abstractNum w:abstractNumId="841236">
    <w:lvl>
      <w:numFmt w:val="bullet"/>
      <w:suff w:val="tab"/>
      <w:lvlText w:val="•"/>
      <w:rPr>
        <w:color w:val="3370ff"/>
      </w:rPr>
    </w:lvl>
  </w:abstractNum>
  <w:abstractNum w:abstractNumId="841237">
    <w:lvl>
      <w:numFmt w:val="bullet"/>
      <w:suff w:val="tab"/>
      <w:lvlText w:val="•"/>
      <w:rPr>
        <w:color w:val="3370ff"/>
      </w:rPr>
    </w:lvl>
  </w:abstractNum>
  <w:abstractNum w:abstractNumId="841238">
    <w:lvl>
      <w:numFmt w:val="bullet"/>
      <w:suff w:val="tab"/>
      <w:lvlText w:val="•"/>
      <w:rPr>
        <w:color w:val="3370ff"/>
      </w:rPr>
    </w:lvl>
  </w:abstractNum>
  <w:abstractNum w:abstractNumId="841239">
    <w:lvl>
      <w:numFmt w:val="bullet"/>
      <w:suff w:val="tab"/>
      <w:lvlText w:val="•"/>
      <w:rPr>
        <w:color w:val="3370ff"/>
      </w:rPr>
    </w:lvl>
  </w:abstractNum>
  <w:abstractNum w:abstractNumId="841240">
    <w:lvl>
      <w:numFmt w:val="bullet"/>
      <w:suff w:val="tab"/>
      <w:lvlText w:val="￮"/>
      <w:rPr>
        <w:color w:val="3370ff"/>
      </w:rPr>
    </w:lvl>
  </w:abstractNum>
  <w:abstractNum w:abstractNumId="841241">
    <w:lvl>
      <w:numFmt w:val="bullet"/>
      <w:suff w:val="tab"/>
      <w:lvlText w:val="￮"/>
      <w:rPr>
        <w:color w:val="3370ff"/>
      </w:rPr>
    </w:lvl>
  </w:abstractNum>
  <w:abstractNum w:abstractNumId="841242">
    <w:lvl>
      <w:numFmt w:val="bullet"/>
      <w:suff w:val="tab"/>
      <w:lvlText w:val="•"/>
      <w:rPr>
        <w:color w:val="3370ff"/>
      </w:rPr>
    </w:lvl>
  </w:abstractNum>
  <w:abstractNum w:abstractNumId="841243">
    <w:lvl>
      <w:numFmt w:val="bullet"/>
      <w:suff w:val="tab"/>
      <w:lvlText w:val="￮"/>
      <w:rPr>
        <w:color w:val="3370ff"/>
      </w:rPr>
    </w:lvl>
  </w:abstractNum>
  <w:abstractNum w:abstractNumId="841244">
    <w:lvl>
      <w:numFmt w:val="bullet"/>
      <w:suff w:val="tab"/>
      <w:lvlText w:val="•"/>
      <w:rPr>
        <w:color w:val="3370ff"/>
      </w:rPr>
    </w:lvl>
  </w:abstractNum>
  <w:abstractNum w:abstractNumId="841245">
    <w:lvl>
      <w:numFmt w:val="bullet"/>
      <w:suff w:val="tab"/>
      <w:lvlText w:val="￮"/>
      <w:rPr>
        <w:color w:val="3370ff"/>
      </w:rPr>
    </w:lvl>
  </w:abstractNum>
  <w:abstractNum w:abstractNumId="841246">
    <w:lvl>
      <w:numFmt w:val="bullet"/>
      <w:suff w:val="tab"/>
      <w:lvlText w:val="￮"/>
      <w:rPr>
        <w:color w:val="3370ff"/>
      </w:rPr>
    </w:lvl>
  </w:abstractNum>
  <w:abstractNum w:abstractNumId="841247">
    <w:lvl>
      <w:numFmt w:val="bullet"/>
      <w:suff w:val="tab"/>
      <w:lvlText w:val="•"/>
      <w:rPr>
        <w:color w:val="3370ff"/>
      </w:rPr>
    </w:lvl>
  </w:abstractNum>
  <w:abstractNum w:abstractNumId="841248">
    <w:lvl>
      <w:numFmt w:val="bullet"/>
      <w:suff w:val="tab"/>
      <w:lvlText w:val="￮"/>
      <w:rPr>
        <w:color w:val="3370ff"/>
      </w:rPr>
    </w:lvl>
  </w:abstractNum>
  <w:abstractNum w:abstractNumId="841249">
    <w:lvl>
      <w:numFmt w:val="bullet"/>
      <w:suff w:val="tab"/>
      <w:lvlText w:val="￮"/>
      <w:rPr>
        <w:color w:val="3370ff"/>
      </w:rPr>
    </w:lvl>
  </w:abstractNum>
  <w:abstractNum w:abstractNumId="841250">
    <w:lvl>
      <w:numFmt w:val="bullet"/>
      <w:suff w:val="tab"/>
      <w:lvlText w:val="￮"/>
      <w:rPr>
        <w:color w:val="3370ff"/>
      </w:rPr>
    </w:lvl>
  </w:abstractNum>
  <w:abstractNum w:abstractNumId="841251">
    <w:lvl>
      <w:numFmt w:val="bullet"/>
      <w:suff w:val="tab"/>
      <w:lvlText w:val="•"/>
      <w:rPr>
        <w:color w:val="3370ff"/>
      </w:rPr>
    </w:lvl>
  </w:abstractNum>
  <w:abstractNum w:abstractNumId="841252">
    <w:lvl>
      <w:numFmt w:val="bullet"/>
      <w:suff w:val="tab"/>
      <w:lvlText w:val="•"/>
      <w:rPr>
        <w:color w:val="3370ff"/>
      </w:rPr>
    </w:lvl>
  </w:abstractNum>
  <w:abstractNum w:abstractNumId="841253">
    <w:lvl>
      <w:numFmt w:val="bullet"/>
      <w:suff w:val="tab"/>
      <w:lvlText w:val="•"/>
      <w:rPr>
        <w:color w:val="3370ff"/>
      </w:rPr>
    </w:lvl>
  </w:abstractNum>
  <w:abstractNum w:abstractNumId="841254">
    <w:lvl>
      <w:numFmt w:val="bullet"/>
      <w:suff w:val="tab"/>
      <w:lvlText w:val="•"/>
      <w:rPr>
        <w:color w:val="3370ff"/>
      </w:rPr>
    </w:lvl>
  </w:abstractNum>
  <w:abstractNum w:abstractNumId="841255">
    <w:lvl>
      <w:numFmt w:val="bullet"/>
      <w:suff w:val="tab"/>
      <w:lvlText w:val="•"/>
      <w:rPr>
        <w:color w:val="3370ff"/>
      </w:rPr>
    </w:lvl>
  </w:abstractNum>
  <w:abstractNum w:abstractNumId="841256">
    <w:lvl>
      <w:numFmt w:val="bullet"/>
      <w:suff w:val="tab"/>
      <w:lvlText w:val="•"/>
      <w:rPr>
        <w:color w:val="3370ff"/>
      </w:rPr>
    </w:lvl>
  </w:abstractNum>
  <w:abstractNum w:abstractNumId="841257">
    <w:lvl>
      <w:numFmt w:val="bullet"/>
      <w:suff w:val="tab"/>
      <w:lvlText w:val="•"/>
      <w:rPr>
        <w:color w:val="3370ff"/>
      </w:rPr>
    </w:lvl>
  </w:abstractNum>
  <w:abstractNum w:abstractNumId="841258">
    <w:lvl>
      <w:numFmt w:val="bullet"/>
      <w:suff w:val="tab"/>
      <w:lvlText w:val="•"/>
      <w:rPr>
        <w:color w:val="3370ff"/>
      </w:rPr>
    </w:lvl>
  </w:abstractNum>
  <w:abstractNum w:abstractNumId="841259">
    <w:lvl>
      <w:numFmt w:val="bullet"/>
      <w:suff w:val="tab"/>
      <w:lvlText w:val="•"/>
      <w:rPr>
        <w:color w:val="3370ff"/>
      </w:rPr>
    </w:lvl>
  </w:abstractNum>
  <w:abstractNum w:abstractNumId="841260">
    <w:lvl>
      <w:numFmt w:val="bullet"/>
      <w:suff w:val="tab"/>
      <w:lvlText w:val="•"/>
      <w:rPr>
        <w:color w:val="3370ff"/>
      </w:rPr>
    </w:lvl>
  </w:abstractNum>
  <w:abstractNum w:abstractNumId="841261">
    <w:lvl>
      <w:numFmt w:val="bullet"/>
      <w:suff w:val="tab"/>
      <w:lvlText w:val="•"/>
      <w:rPr>
        <w:color w:val="3370ff"/>
      </w:rPr>
    </w:lvl>
  </w:abstractNum>
  <w:abstractNum w:abstractNumId="841262">
    <w:lvl>
      <w:numFmt w:val="bullet"/>
      <w:suff w:val="tab"/>
      <w:lvlText w:val="▪"/>
      <w:rPr>
        <w:color w:val="3370ff"/>
        <w:sz w:val="11"/>
      </w:rPr>
    </w:lvl>
  </w:abstractNum>
  <w:abstractNum w:abstractNumId="841263">
    <w:lvl>
      <w:numFmt w:val="bullet"/>
      <w:suff w:val="tab"/>
      <w:lvlText w:val="•"/>
      <w:rPr>
        <w:color w:val="3370ff"/>
      </w:rPr>
    </w:lvl>
  </w:abstractNum>
  <w:abstractNum w:abstractNumId="841264">
    <w:lvl>
      <w:numFmt w:val="bullet"/>
      <w:suff w:val="tab"/>
      <w:lvlText w:val="•"/>
      <w:rPr>
        <w:color w:val="3370ff"/>
      </w:rPr>
    </w:lvl>
  </w:abstractNum>
  <w:abstractNum w:abstractNumId="841265">
    <w:lvl>
      <w:numFmt w:val="bullet"/>
      <w:suff w:val="tab"/>
      <w:lvlText w:val="•"/>
      <w:rPr>
        <w:color w:val="3370ff"/>
      </w:rPr>
    </w:lvl>
  </w:abstractNum>
  <w:abstractNum w:abstractNumId="841266">
    <w:lvl>
      <w:numFmt w:val="bullet"/>
      <w:suff w:val="tab"/>
      <w:lvlText w:val="￮"/>
      <w:rPr>
        <w:color w:val="3370ff"/>
      </w:rPr>
    </w:lvl>
  </w:abstractNum>
  <w:abstractNum w:abstractNumId="841267">
    <w:lvl>
      <w:numFmt w:val="bullet"/>
      <w:suff w:val="tab"/>
      <w:lvlText w:val="￮"/>
      <w:rPr>
        <w:color w:val="3370ff"/>
      </w:rPr>
    </w:lvl>
  </w:abstractNum>
  <w:abstractNum w:abstractNumId="841268">
    <w:lvl>
      <w:numFmt w:val="bullet"/>
      <w:suff w:val="tab"/>
      <w:lvlText w:val="￮"/>
      <w:rPr>
        <w:color w:val="3370ff"/>
      </w:rPr>
    </w:lvl>
  </w:abstractNum>
  <w:abstractNum w:abstractNumId="841269">
    <w:lvl>
      <w:numFmt w:val="bullet"/>
      <w:suff w:val="tab"/>
      <w:lvlText w:val="￮"/>
      <w:rPr>
        <w:color w:val="3370ff"/>
      </w:rPr>
    </w:lvl>
  </w:abstractNum>
  <w:abstractNum w:abstractNumId="841270">
    <w:lvl>
      <w:start w:val="1"/>
      <w:numFmt w:val="decimal"/>
      <w:suff w:val="tab"/>
      <w:lvlText w:val="%1."/>
      <w:rPr>
        <w:color w:val="3370ff"/>
      </w:rPr>
    </w:lvl>
  </w:abstractNum>
  <w:abstractNum w:abstractNumId="841271">
    <w:lvl>
      <w:start w:val="2"/>
      <w:numFmt w:val="decimal"/>
      <w:suff w:val="tab"/>
      <w:lvlText w:val="%1."/>
      <w:rPr>
        <w:color w:val="3370ff"/>
      </w:rPr>
    </w:lvl>
  </w:abstractNum>
  <w:abstractNum w:abstractNumId="841272">
    <w:lvl>
      <w:start w:val="3"/>
      <w:numFmt w:val="decimal"/>
      <w:suff w:val="tab"/>
      <w:lvlText w:val="%1."/>
      <w:rPr>
        <w:color w:val="3370ff"/>
      </w:rPr>
    </w:lvl>
  </w:abstractNum>
  <w:abstractNum w:abstractNumId="841273">
    <w:lvl>
      <w:start w:val="4"/>
      <w:numFmt w:val="decimal"/>
      <w:suff w:val="tab"/>
      <w:lvlText w:val="%1."/>
      <w:rPr>
        <w:color w:val="3370ff"/>
      </w:rPr>
    </w:lvl>
  </w:abstractNum>
  <w:abstractNum w:abstractNumId="841274">
    <w:lvl>
      <w:start w:val="5"/>
      <w:numFmt w:val="decimal"/>
      <w:suff w:val="tab"/>
      <w:lvlText w:val="%1."/>
      <w:rPr>
        <w:color w:val="3370ff"/>
      </w:rPr>
    </w:lvl>
  </w:abstractNum>
  <w:abstractNum w:abstractNumId="841275">
    <w:lvl>
      <w:numFmt w:val="bullet"/>
      <w:suff w:val="tab"/>
      <w:lvlText w:val="•"/>
      <w:rPr>
        <w:color w:val="3370ff"/>
      </w:rPr>
    </w:lvl>
  </w:abstractNum>
  <w:abstractNum w:abstractNumId="841276">
    <w:lvl>
      <w:numFmt w:val="bullet"/>
      <w:suff w:val="tab"/>
      <w:lvlText w:val="•"/>
      <w:rPr>
        <w:color w:val="3370ff"/>
      </w:rPr>
    </w:lvl>
  </w:abstractNum>
  <w:num w:numId="1">
    <w:abstractNumId w:val="841190"/>
  </w:num>
  <w:num w:numId="2">
    <w:abstractNumId w:val="841191"/>
  </w:num>
  <w:num w:numId="3">
    <w:abstractNumId w:val="841192"/>
  </w:num>
  <w:num w:numId="4">
    <w:abstractNumId w:val="841193"/>
  </w:num>
  <w:num w:numId="5">
    <w:abstractNumId w:val="841194"/>
  </w:num>
  <w:num w:numId="6">
    <w:abstractNumId w:val="841195"/>
  </w:num>
  <w:num w:numId="7">
    <w:abstractNumId w:val="841196"/>
  </w:num>
  <w:num w:numId="8">
    <w:abstractNumId w:val="841197"/>
  </w:num>
  <w:num w:numId="9">
    <w:abstractNumId w:val="841198"/>
  </w:num>
  <w:num w:numId="10">
    <w:abstractNumId w:val="841199"/>
  </w:num>
  <w:num w:numId="11">
    <w:abstractNumId w:val="841200"/>
  </w:num>
  <w:num w:numId="12">
    <w:abstractNumId w:val="841201"/>
  </w:num>
  <w:num w:numId="13">
    <w:abstractNumId w:val="841202"/>
  </w:num>
  <w:num w:numId="14">
    <w:abstractNumId w:val="841203"/>
  </w:num>
  <w:num w:numId="15">
    <w:abstractNumId w:val="841204"/>
  </w:num>
  <w:num w:numId="16">
    <w:abstractNumId w:val="841205"/>
  </w:num>
  <w:num w:numId="17">
    <w:abstractNumId w:val="841206"/>
  </w:num>
  <w:num w:numId="18">
    <w:abstractNumId w:val="841207"/>
  </w:num>
  <w:num w:numId="19">
    <w:abstractNumId w:val="841208"/>
  </w:num>
  <w:num w:numId="20">
    <w:abstractNumId w:val="841209"/>
  </w:num>
  <w:num w:numId="21">
    <w:abstractNumId w:val="841210"/>
  </w:num>
  <w:num w:numId="22">
    <w:abstractNumId w:val="841211"/>
  </w:num>
  <w:num w:numId="23">
    <w:abstractNumId w:val="841212"/>
  </w:num>
  <w:num w:numId="24">
    <w:abstractNumId w:val="841213"/>
  </w:num>
  <w:num w:numId="25">
    <w:abstractNumId w:val="841214"/>
  </w:num>
  <w:num w:numId="26">
    <w:abstractNumId w:val="841215"/>
  </w:num>
  <w:num w:numId="27">
    <w:abstractNumId w:val="841216"/>
  </w:num>
  <w:num w:numId="28">
    <w:abstractNumId w:val="841217"/>
  </w:num>
  <w:num w:numId="29">
    <w:abstractNumId w:val="841218"/>
  </w:num>
  <w:num w:numId="30">
    <w:abstractNumId w:val="841219"/>
  </w:num>
  <w:num w:numId="31">
    <w:abstractNumId w:val="841220"/>
  </w:num>
  <w:num w:numId="32">
    <w:abstractNumId w:val="841221"/>
  </w:num>
  <w:num w:numId="33">
    <w:abstractNumId w:val="841222"/>
  </w:num>
  <w:num w:numId="34">
    <w:abstractNumId w:val="841223"/>
  </w:num>
  <w:num w:numId="35">
    <w:abstractNumId w:val="841224"/>
  </w:num>
  <w:num w:numId="36">
    <w:abstractNumId w:val="841225"/>
  </w:num>
  <w:num w:numId="37">
    <w:abstractNumId w:val="841226"/>
  </w:num>
  <w:num w:numId="38">
    <w:abstractNumId w:val="841227"/>
  </w:num>
  <w:num w:numId="39">
    <w:abstractNumId w:val="841228"/>
  </w:num>
  <w:num w:numId="40">
    <w:abstractNumId w:val="841229"/>
  </w:num>
  <w:num w:numId="41">
    <w:abstractNumId w:val="841230"/>
  </w:num>
  <w:num w:numId="42">
    <w:abstractNumId w:val="841231"/>
  </w:num>
  <w:num w:numId="43">
    <w:abstractNumId w:val="841232"/>
  </w:num>
  <w:num w:numId="44">
    <w:abstractNumId w:val="841233"/>
  </w:num>
  <w:num w:numId="45">
    <w:abstractNumId w:val="841234"/>
  </w:num>
  <w:num w:numId="46">
    <w:abstractNumId w:val="841235"/>
  </w:num>
  <w:num w:numId="47">
    <w:abstractNumId w:val="841236"/>
  </w:num>
  <w:num w:numId="48">
    <w:abstractNumId w:val="841237"/>
  </w:num>
  <w:num w:numId="49">
    <w:abstractNumId w:val="841238"/>
  </w:num>
  <w:num w:numId="50">
    <w:abstractNumId w:val="841239"/>
  </w:num>
  <w:num w:numId="51">
    <w:abstractNumId w:val="841240"/>
  </w:num>
  <w:num w:numId="52">
    <w:abstractNumId w:val="841241"/>
  </w:num>
  <w:num w:numId="53">
    <w:abstractNumId w:val="841242"/>
  </w:num>
  <w:num w:numId="54">
    <w:abstractNumId w:val="841243"/>
  </w:num>
  <w:num w:numId="55">
    <w:abstractNumId w:val="841244"/>
  </w:num>
  <w:num w:numId="56">
    <w:abstractNumId w:val="841245"/>
  </w:num>
  <w:num w:numId="57">
    <w:abstractNumId w:val="841246"/>
  </w:num>
  <w:num w:numId="58">
    <w:abstractNumId w:val="841247"/>
  </w:num>
  <w:num w:numId="59">
    <w:abstractNumId w:val="841248"/>
  </w:num>
  <w:num w:numId="60">
    <w:abstractNumId w:val="841249"/>
  </w:num>
  <w:num w:numId="61">
    <w:abstractNumId w:val="841250"/>
  </w:num>
  <w:num w:numId="62">
    <w:abstractNumId w:val="841251"/>
  </w:num>
  <w:num w:numId="63">
    <w:abstractNumId w:val="841252"/>
  </w:num>
  <w:num w:numId="64">
    <w:abstractNumId w:val="841253"/>
  </w:num>
  <w:num w:numId="65">
    <w:abstractNumId w:val="841254"/>
  </w:num>
  <w:num w:numId="66">
    <w:abstractNumId w:val="841255"/>
  </w:num>
  <w:num w:numId="67">
    <w:abstractNumId w:val="841256"/>
  </w:num>
  <w:num w:numId="68">
    <w:abstractNumId w:val="841257"/>
  </w:num>
  <w:num w:numId="69">
    <w:abstractNumId w:val="841258"/>
  </w:num>
  <w:num w:numId="70">
    <w:abstractNumId w:val="841259"/>
  </w:num>
  <w:num w:numId="71">
    <w:abstractNumId w:val="841260"/>
  </w:num>
  <w:num w:numId="72">
    <w:abstractNumId w:val="841261"/>
  </w:num>
  <w:num w:numId="73">
    <w:abstractNumId w:val="841262"/>
  </w:num>
  <w:num w:numId="74">
    <w:abstractNumId w:val="841263"/>
  </w:num>
  <w:num w:numId="75">
    <w:abstractNumId w:val="841264"/>
  </w:num>
  <w:num w:numId="76">
    <w:abstractNumId w:val="841265"/>
  </w:num>
  <w:num w:numId="77">
    <w:abstractNumId w:val="841266"/>
  </w:num>
  <w:num w:numId="78">
    <w:abstractNumId w:val="841267"/>
  </w:num>
  <w:num w:numId="79">
    <w:abstractNumId w:val="841268"/>
  </w:num>
  <w:num w:numId="80">
    <w:abstractNumId w:val="841269"/>
  </w:num>
  <w:num w:numId="81">
    <w:abstractNumId w:val="841270"/>
  </w:num>
  <w:num w:numId="82">
    <w:abstractNumId w:val="841271"/>
  </w:num>
  <w:num w:numId="83">
    <w:abstractNumId w:val="841272"/>
  </w:num>
  <w:num w:numId="84">
    <w:abstractNumId w:val="841273"/>
  </w:num>
  <w:num w:numId="85">
    <w:abstractNumId w:val="841274"/>
  </w:num>
  <w:num w:numId="86">
    <w:abstractNumId w:val="841275"/>
  </w:num>
  <w:num w:numId="87">
    <w:abstractNumId w:val="8412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https://eg69120xnei.sg.larksuite.com/wiki/NhiLwHD3QiSicskOpP1lQNXdgKf?from=from_copylink" TargetMode="External" Type="http://schemas.openxmlformats.org/officeDocument/2006/relationships/hyperlink"/><Relationship Id="rId8" Target="embeddings/Microsoft_Excel_Worksheet1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2026-08-06T17:26:20Z</dcterms:created>
  <dc:creator>Apache POI</dc:creator>
</cp:coreProperties>
</file>