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Fix</w:t>
      </w:r>
      <w:r>
        <w:rPr>
          <w:rFonts w:eastAsia="等线" w:ascii="Arial" w:cs="Arial" w:hAnsi="Arial"/>
          <w:b w:val="true"/>
          <w:sz w:val="52"/>
        </w:rPr>
        <w:t>g</w:t>
      </w:r>
      <w:r>
        <w:rPr>
          <w:rFonts w:eastAsia="等线" w:ascii="Arial" w:cs="Arial" w:hAnsi="Arial"/>
          <w:b w:val="true"/>
          <w:sz w:val="52"/>
        </w:rPr>
        <w:t>uru SOW</w:t>
      </w:r>
    </w:p>
    <w:p>
      <w:pPr>
        <w:spacing w:before="120" w:after="120" w:line="288" w:lineRule="auto"/>
        <w:ind w:left="0"/>
        <w:jc w:val="left"/>
      </w:pPr>
      <w:r>
        <w:rPr>
          <w:rFonts w:eastAsia="等线" w:ascii="Arial" w:cs="Arial" w:hAnsi="Arial"/>
          <w:sz w:val="22"/>
        </w:rPr>
        <w:t>The Services Agreement is made effective as of 22nd July 2025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6570"/>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BETWEEN</w:t>
            </w:r>
          </w:p>
          <w:p>
            <w:pPr>
              <w:spacing w:before="120" w:after="120" w:line="288" w:lineRule="auto"/>
              <w:ind w:left="0"/>
              <w:jc w:val="left"/>
            </w:pP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Mindhive Sdn Bhd </w:t>
            </w:r>
            <w:r>
              <w:rPr>
                <w:rFonts w:eastAsia="等线" w:ascii="Arial" w:cs="Arial" w:hAnsi="Arial"/>
                <w:sz w:val="22"/>
              </w:rPr>
              <w:t>(“Mindhive”), with its office located at 7, Jln Penyajak U1/45A, Hicom-glenmarie Industrial Park, 40150 Shah Alam, Selangor.</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AND</w:t>
            </w:r>
          </w:p>
        </w:tc>
        <w:tc>
          <w:tcPr>
            <w:tcW w:w="6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IAM Worldwide Sdn Bhd</w:t>
            </w:r>
            <w:r>
              <w:rPr>
                <w:rFonts w:eastAsia="等线" w:ascii="Arial" w:cs="Arial" w:hAnsi="Arial"/>
                <w:b w:val="true"/>
                <w:sz w:val="22"/>
              </w:rPr>
              <w:t xml:space="preserve"> </w:t>
            </w:r>
            <w:r>
              <w:rPr>
                <w:rFonts w:eastAsia="等线" w:ascii="Arial" w:cs="Arial" w:hAnsi="Arial"/>
                <w:sz w:val="22"/>
              </w:rPr>
              <w:t>(“Fixguru”), with its office located at 18931, Jalan Telok Gong, Kampung Telok Gong, 42000 Pelabuhan Klang, Selangor.</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Project Overview</w:t>
      </w:r>
      <w:bookmarkEnd w:id="0"/>
    </w:p>
    <w:p>
      <w:pPr>
        <w:spacing w:before="120" w:after="120" w:line="288" w:lineRule="auto"/>
        <w:ind w:left="0"/>
        <w:jc w:val="left"/>
      </w:pPr>
      <w:r>
        <w:rPr>
          <w:rFonts w:eastAsia="等线" w:ascii="Arial" w:cs="Arial" w:hAnsi="Arial"/>
          <w:sz w:val="22"/>
        </w:rPr>
        <w:t xml:space="preserve">Fixguru seeks to streamline its B2B order-to-delivery operations by deploying an internal WhatsApp-based AI chatbot tightly integrated with an in-house </w:t>
      </w:r>
      <w:r>
        <w:rPr>
          <w:rFonts w:eastAsia="等线" w:ascii="Arial" w:cs="Arial" w:hAnsi="Arial"/>
          <w:sz w:val="22"/>
        </w:rPr>
        <w:t>Maia</w:t>
      </w:r>
      <w:r>
        <w:rPr>
          <w:rFonts w:eastAsia="等线" w:ascii="Arial" w:cs="Arial" w:hAnsi="Arial"/>
          <w:sz w:val="22"/>
        </w:rPr>
        <w:t xml:space="preserve"> and AutoCount accounting. The solution will automate routine order handling, synchronise master data nightly, and provide real-time status updates to Sales, Operations and Drivers—eliminating manual double-entry, late-night coordination calls and missed follow-ups.</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3"/>
              <w:spacing w:before="300" w:after="120" w:line="288" w:lineRule="auto"/>
              <w:ind w:left="0"/>
              <w:jc w:val="left"/>
              <w:outlineLvl w:val="2"/>
            </w:pPr>
            <w:bookmarkStart w:name="heading_1" w:id="1"/>
            <w:r>
              <w:rPr>
                <w:rFonts w:eastAsia="等线" w:ascii="Arial" w:cs="Arial" w:hAnsi="Arial"/>
                <w:b w:val="true"/>
                <w:sz w:val="30"/>
              </w:rPr>
              <w:t>Objectives</w:t>
            </w:r>
            <w:bookmarkEnd w:id="1"/>
          </w:p>
          <w:p>
            <w:pPr>
              <w:numPr>
                <w:numId w:val="1"/>
              </w:numPr>
              <w:spacing w:before="120" w:after="120" w:line="288" w:lineRule="auto"/>
              <w:ind w:left="0"/>
              <w:jc w:val="left"/>
            </w:pPr>
            <w:r>
              <w:rPr>
                <w:rFonts w:eastAsia="等线" w:ascii="Arial" w:cs="Arial" w:hAnsi="Arial"/>
                <w:sz w:val="22"/>
              </w:rPr>
              <w:t xml:space="preserve">Eliminate manual data re-keying between chatbot, </w:t>
            </w:r>
            <w:r>
              <w:rPr>
                <w:rFonts w:eastAsia="等线" w:ascii="Arial" w:cs="Arial" w:hAnsi="Arial"/>
                <w:sz w:val="22"/>
              </w:rPr>
              <w:t>Maia</w:t>
            </w:r>
            <w:r>
              <w:rPr>
                <w:rFonts w:eastAsia="等线" w:ascii="Arial" w:cs="Arial" w:hAnsi="Arial"/>
                <w:sz w:val="22"/>
              </w:rPr>
              <w:t xml:space="preserve"> and AutoCount, reducing processing effort and errors</w:t>
            </w:r>
          </w:p>
          <w:p>
            <w:pPr>
              <w:numPr>
                <w:numId w:val="2"/>
              </w:numPr>
              <w:spacing w:before="120" w:after="120" w:line="288" w:lineRule="auto"/>
              <w:ind w:left="0"/>
              <w:jc w:val="left"/>
            </w:pPr>
            <w:r>
              <w:rPr>
                <w:rFonts w:eastAsia="等线" w:ascii="Arial" w:cs="Arial" w:hAnsi="Arial"/>
                <w:sz w:val="22"/>
              </w:rPr>
              <w:t>Shorten order-to-invoice cycle for ~</w:t>
            </w:r>
            <w:r>
              <w:rPr>
                <w:rFonts w:eastAsia="等线" w:ascii="Arial" w:cs="Arial" w:hAnsi="Arial"/>
                <w:color w:val="dc9b04"/>
                <w:sz w:val="22"/>
              </w:rPr>
              <w:t>30</w:t>
            </w:r>
            <w:r>
              <w:rPr>
                <w:rFonts w:eastAsia="等线" w:ascii="Arial" w:cs="Arial" w:hAnsi="Arial"/>
                <w:color w:val="dc9b04"/>
                <w:sz w:val="22"/>
              </w:rPr>
              <w:t xml:space="preserve"> or more</w:t>
            </w:r>
            <w:r>
              <w:rPr>
                <w:rFonts w:eastAsia="等线" w:ascii="Arial" w:cs="Arial" w:hAnsi="Arial"/>
                <w:color w:val="dc9b04"/>
                <w:sz w:val="22"/>
              </w:rPr>
              <w:t xml:space="preserve"> confirmed orders/day</w:t>
            </w:r>
          </w:p>
          <w:p>
            <w:pPr>
              <w:numPr>
                <w:numId w:val="3"/>
              </w:numPr>
              <w:spacing w:before="120" w:after="120" w:line="288" w:lineRule="auto"/>
              <w:ind w:left="0"/>
              <w:jc w:val="left"/>
            </w:pPr>
            <w:r>
              <w:rPr>
                <w:rFonts w:eastAsia="等线" w:ascii="Arial" w:cs="Arial" w:hAnsi="Arial"/>
                <w:sz w:val="22"/>
              </w:rPr>
              <w:t>Provide automated reminders to internal teams (e.g., customers with no orders &gt; 30 days)</w:t>
            </w:r>
          </w:p>
          <w:p>
            <w:pPr>
              <w:numPr>
                <w:numId w:val="4"/>
              </w:numPr>
              <w:spacing w:before="120" w:after="120" w:line="288" w:lineRule="auto"/>
              <w:ind w:left="0"/>
              <w:jc w:val="left"/>
            </w:pPr>
            <w:r>
              <w:rPr>
                <w:rFonts w:eastAsia="等线" w:ascii="Arial" w:cs="Arial" w:hAnsi="Arial"/>
                <w:sz w:val="22"/>
              </w:rPr>
              <w:t>Enforce credit-limit/credit-term checks before issuing invoices</w:t>
            </w:r>
          </w:p>
          <w:p>
            <w:pPr>
              <w:numPr>
                <w:numId w:val="5"/>
              </w:numPr>
              <w:spacing w:before="120" w:after="120" w:line="288" w:lineRule="auto"/>
              <w:ind w:left="453"/>
              <w:jc w:val="left"/>
            </w:pPr>
            <w:r>
              <w:rPr>
                <w:rFonts w:eastAsia="等线" w:ascii="Arial" w:cs="Arial" w:hAnsi="Arial"/>
                <w:color w:val="dc9b04"/>
                <w:sz w:val="22"/>
              </w:rPr>
              <w:t>Done before converting Sales order to DO</w:t>
            </w:r>
          </w:p>
          <w:p>
            <w:pPr>
              <w:pStyle w:val="3"/>
              <w:spacing w:before="300" w:after="120" w:line="288" w:lineRule="auto"/>
              <w:ind w:left="0"/>
              <w:jc w:val="left"/>
              <w:outlineLvl w:val="2"/>
            </w:pPr>
            <w:bookmarkStart w:name="heading_2" w:id="2"/>
            <w:r>
              <w:rPr>
                <w:rFonts w:eastAsia="等线" w:ascii="Arial" w:cs="Arial" w:hAnsi="Arial"/>
                <w:b w:val="true"/>
                <w:sz w:val="30"/>
              </w:rPr>
              <w:t>Key Results</w:t>
            </w:r>
            <w:bookmarkEnd w:id="2"/>
          </w:p>
          <w:p>
            <w:pPr>
              <w:numPr>
                <w:numId w:val="6"/>
              </w:numPr>
              <w:spacing w:before="120" w:after="120" w:line="288" w:lineRule="auto"/>
              <w:ind w:left="0"/>
              <w:jc w:val="left"/>
            </w:pPr>
            <w:r>
              <w:rPr>
                <w:rFonts w:eastAsia="等线" w:ascii="Arial" w:cs="Arial" w:hAnsi="Arial"/>
                <w:sz w:val="22"/>
              </w:rPr>
              <w:t>≥ 50 % reduction in manual WhatsApp coordination between Sales &amp; Operations</w:t>
            </w:r>
          </w:p>
          <w:p>
            <w:pPr>
              <w:numPr>
                <w:numId w:val="7"/>
              </w:numPr>
              <w:spacing w:before="120" w:after="120" w:line="288" w:lineRule="auto"/>
              <w:ind w:left="0"/>
              <w:jc w:val="left"/>
            </w:pPr>
            <w:r>
              <w:rPr>
                <w:rFonts w:eastAsia="等线" w:ascii="Arial" w:cs="Arial" w:hAnsi="Arial"/>
                <w:sz w:val="22"/>
              </w:rPr>
              <w:t>Cut order processing time from quotation to DO generation by ≥ 40 %</w:t>
            </w:r>
          </w:p>
          <w:p>
            <w:pPr>
              <w:numPr>
                <w:numId w:val="8"/>
              </w:numPr>
              <w:spacing w:before="120" w:after="120" w:line="288" w:lineRule="auto"/>
              <w:ind w:left="0"/>
              <w:jc w:val="left"/>
            </w:pPr>
            <w:r>
              <w:rPr>
                <w:rFonts w:eastAsia="等线" w:ascii="Arial" w:cs="Arial" w:hAnsi="Arial"/>
                <w:sz w:val="22"/>
              </w:rPr>
              <w:t>100 % automated nightly sync of customers, products, invoices and receipts to AutoCount</w:t>
            </w:r>
          </w:p>
          <w:p>
            <w:pPr>
              <w:numPr>
                <w:numId w:val="9"/>
              </w:numPr>
              <w:spacing w:before="120" w:after="120" w:line="288" w:lineRule="auto"/>
              <w:ind w:left="0"/>
              <w:jc w:val="left"/>
            </w:pPr>
            <w:r>
              <w:rPr>
                <w:rFonts w:eastAsia="等线" w:ascii="Arial" w:cs="Arial" w:hAnsi="Arial"/>
                <w:sz w:val="22"/>
              </w:rPr>
              <w:t>On-time delivery adherence ≥ 95 % through cut-off (2 pm) and routing automation</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2. </w:t>
      </w:r>
      <w:r>
        <w:rPr>
          <w:rFonts w:eastAsia="等线" w:ascii="Arial" w:cs="Arial" w:hAnsi="Arial"/>
          <w:b w:val="true"/>
          <w:sz w:val="36"/>
        </w:rPr>
        <w:t>Scope of Work</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2.1 </w:t>
      </w:r>
      <w:r>
        <w:rPr>
          <w:rFonts w:eastAsia="等线" w:ascii="Arial" w:cs="Arial" w:hAnsi="Arial"/>
          <w:b w:val="true"/>
          <w:sz w:val="32"/>
        </w:rPr>
        <w:t>Integrations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645"/>
        <w:gridCol w:w="645"/>
        <w:gridCol w:w="3225"/>
        <w:gridCol w:w="1515"/>
      </w:tblGrid>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System</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Direction</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Frequency</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Objects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Notes</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r>
              <w:rPr>
                <w:rFonts w:eastAsia="等线" w:ascii="Arial" w:cs="Arial" w:hAnsi="Arial"/>
                <w:sz w:val="22"/>
              </w:rPr>
              <w:t xml:space="preserve"> ⇆ AutoCount</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Push/Pull</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EOD</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Quotes, </w:t>
            </w:r>
            <w:r>
              <w:rPr>
                <w:rFonts w:eastAsia="等线" w:ascii="Arial" w:cs="Arial" w:hAnsi="Arial"/>
                <w:sz w:val="22"/>
              </w:rPr>
              <w:t>Customers, Products, Invoices, Credit Notes, Receipts, Payment Vouchers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Master data lives in AutoCount </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Chatbot → </w:t>
            </w:r>
            <w:r>
              <w:rPr>
                <w:rFonts w:eastAsia="等线" w:ascii="Arial" w:cs="Arial" w:hAnsi="Arial"/>
                <w:sz w:val="22"/>
              </w:rPr>
              <w:t>Maia</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Real-time</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Orders, DO, Invoice status</w:t>
            </w:r>
            <w:r>
              <w:rPr>
                <w:rFonts w:eastAsia="等线" w:ascii="Arial" w:cs="Arial" w:hAnsi="Arial"/>
                <w:sz w:val="22"/>
              </w:rPr>
              <w:t xml:space="preserve">, </w:t>
            </w:r>
            <w:r>
              <w:rPr>
                <w:rFonts w:eastAsia="等线" w:ascii="Arial" w:cs="Arial" w:hAnsi="Arial"/>
                <w:color w:val="dc9b04"/>
                <w:sz w:val="22"/>
              </w:rPr>
              <w:t>Quotation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order creation via bot </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Channels (Bank Tx, Card, Cash, QR Pay</w:t>
            </w:r>
            <w:r>
              <w:rPr>
                <w:rFonts w:eastAsia="等线" w:ascii="Arial" w:cs="Arial" w:hAnsi="Arial"/>
                <w:sz w:val="22"/>
              </w:rPr>
              <w:t>,</w:t>
            </w:r>
            <w:r>
              <w:rPr>
                <w:rFonts w:eastAsia="等线" w:ascii="Arial" w:cs="Arial" w:hAnsi="Arial"/>
                <w:color w:val="dc9b04"/>
                <w:sz w:val="22"/>
              </w:rPr>
              <w:t>TNG</w:t>
            </w:r>
            <w:r>
              <w:rPr>
                <w:rFonts w:eastAsia="等线" w:ascii="Arial" w:cs="Arial" w:hAnsi="Arial"/>
                <w:sz w:val="22"/>
              </w:rPr>
              <w:t>)</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Pull</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On-event</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confirmation &amp; proof</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Supported tender types </w:t>
            </w:r>
          </w:p>
        </w:tc>
      </w:tr>
      <w:tr>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API</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On-demand</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Same-day pickup requests &amp; fees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For “on-the-spot” orders </w:t>
            </w:r>
          </w:p>
        </w:tc>
      </w:tr>
    </w:tbl>
    <w:p>
      <w:pPr>
        <w:numPr>
          <w:numId w:val="10"/>
        </w:numPr>
        <w:spacing w:before="120" w:after="120" w:line="288" w:lineRule="auto"/>
        <w:ind w:left="0"/>
        <w:jc w:val="left"/>
      </w:pPr>
      <w:r>
        <w:rPr>
          <w:rFonts w:eastAsia="等线" w:ascii="Arial" w:cs="Arial" w:hAnsi="Arial"/>
          <w:b w:val="true"/>
          <w:sz w:val="22"/>
        </w:rPr>
        <w:t xml:space="preserve">Chatbot Deployment </w:t>
      </w:r>
    </w:p>
    <w:p>
      <w:pPr>
        <w:numPr>
          <w:numId w:val="11"/>
        </w:numPr>
        <w:spacing w:before="120" w:after="120" w:line="288" w:lineRule="auto"/>
        <w:ind w:left="453"/>
        <w:jc w:val="left"/>
      </w:pPr>
      <w:r>
        <w:rPr>
          <w:rFonts w:eastAsia="等线" w:ascii="Arial" w:cs="Arial" w:hAnsi="Arial"/>
          <w:sz w:val="22"/>
        </w:rPr>
        <w:t>WhatsApp API integration</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2.2 </w:t>
      </w:r>
      <w:r>
        <w:rPr>
          <w:rFonts w:eastAsia="等线" w:ascii="Arial" w:cs="Arial" w:hAnsi="Arial"/>
          <w:b w:val="true"/>
          <w:sz w:val="32"/>
        </w:rPr>
        <w:t>High Level User Flow</w:t>
      </w:r>
      <w:bookmarkEnd w:id="5"/>
    </w:p>
    <w:p>
      <w:pPr>
        <w:numPr>
          <w:numId w:val="12"/>
        </w:numPr>
        <w:spacing w:before="120" w:after="120" w:line="288" w:lineRule="auto"/>
        <w:ind w:left="0"/>
        <w:jc w:val="left"/>
      </w:pPr>
      <w:r>
        <w:rPr>
          <w:rFonts w:eastAsia="等线" w:ascii="Arial" w:cs="Arial" w:hAnsi="Arial"/>
          <w:b w:val="true"/>
          <w:sz w:val="22"/>
        </w:rPr>
        <w:t>Order Capture</w:t>
      </w:r>
      <w:r>
        <w:rPr>
          <w:rFonts w:eastAsia="等线" w:ascii="Arial" w:cs="Arial" w:hAnsi="Arial"/>
          <w:sz w:val="22"/>
        </w:rPr>
        <w:t xml:space="preserve"> – Sales agent chats with customer; bot drafts quotation &amp; pro-forma invoice.</w:t>
      </w:r>
    </w:p>
    <w:p>
      <w:pPr>
        <w:numPr>
          <w:numId w:val="13"/>
        </w:numPr>
        <w:spacing w:before="120" w:after="120" w:line="288" w:lineRule="auto"/>
        <w:ind w:left="453"/>
        <w:jc w:val="left"/>
      </w:pPr>
      <w:r>
        <w:rPr>
          <w:rFonts w:eastAsia="等线" w:ascii="Arial" w:cs="Arial" w:hAnsi="Arial"/>
          <w:sz w:val="22"/>
        </w:rPr>
        <w:t>Live agents can forward customer queries, including images, PDF files, or messages, via WhatsApp to this chatbot for order processing.</w:t>
      </w:r>
    </w:p>
    <w:p>
      <w:pPr>
        <w:numPr>
          <w:numId w:val="14"/>
        </w:numPr>
        <w:spacing w:before="120" w:after="120" w:line="288" w:lineRule="auto"/>
        <w:ind w:left="0"/>
        <w:jc w:val="left"/>
      </w:pPr>
      <w:r>
        <w:rPr>
          <w:rFonts w:eastAsia="等线" w:ascii="Arial" w:cs="Arial" w:hAnsi="Arial"/>
          <w:b w:val="true"/>
          <w:sz w:val="22"/>
        </w:rPr>
        <w:t>Payment &amp; Credit Check</w:t>
      </w:r>
      <w:r>
        <w:rPr>
          <w:rFonts w:eastAsia="等线" w:ascii="Arial" w:cs="Arial" w:hAnsi="Arial"/>
          <w:sz w:val="22"/>
        </w:rPr>
        <w:t xml:space="preserve"> – Agent uploads proof; bot validates credit limit/terms before</w:t>
      </w:r>
      <w:r>
        <w:rPr>
          <w:rFonts w:eastAsia="等线" w:ascii="Arial" w:cs="Arial" w:hAnsi="Arial"/>
          <w:sz w:val="22"/>
        </w:rPr>
        <w:t xml:space="preserve"> DO &amp; invoice is issued</w:t>
      </w:r>
    </w:p>
    <w:p>
      <w:pPr>
        <w:numPr>
          <w:numId w:val="15"/>
        </w:numPr>
        <w:spacing w:before="120" w:after="120" w:line="288" w:lineRule="auto"/>
        <w:ind w:left="453"/>
        <w:jc w:val="left"/>
      </w:pPr>
      <w:r>
        <w:rPr>
          <w:rFonts w:eastAsia="等线" w:ascii="Arial" w:cs="Arial" w:hAnsi="Arial"/>
          <w:b w:val="true"/>
          <w:sz w:val="22"/>
        </w:rPr>
        <w:t>Update Payment Status Completed</w:t>
      </w:r>
      <w:r>
        <w:rPr>
          <w:rFonts w:eastAsia="等线" w:ascii="Arial" w:cs="Arial" w:hAnsi="Arial"/>
          <w:sz w:val="22"/>
        </w:rPr>
        <w:t>: Sales admin can update the payment status to paid/COD by sending the following information:</w:t>
      </w:r>
    </w:p>
    <w:p>
      <w:pPr>
        <w:numPr>
          <w:numId w:val="16"/>
        </w:numPr>
        <w:spacing w:before="120" w:after="120" w:line="288" w:lineRule="auto"/>
        <w:ind w:left="907"/>
        <w:jc w:val="left"/>
      </w:pPr>
      <w:r>
        <w:rPr>
          <w:rFonts w:eastAsia="等线" w:ascii="Arial" w:cs="Arial" w:hAnsi="Arial"/>
          <w:sz w:val="22"/>
        </w:rPr>
        <w:t>Order/Invoice ID</w:t>
      </w:r>
    </w:p>
    <w:p>
      <w:pPr>
        <w:numPr>
          <w:numId w:val="17"/>
        </w:numPr>
        <w:spacing w:before="120" w:after="120" w:line="288" w:lineRule="auto"/>
        <w:ind w:left="907"/>
        <w:jc w:val="left"/>
      </w:pPr>
      <w:r>
        <w:rPr>
          <w:rFonts w:eastAsia="等线" w:ascii="Arial" w:cs="Arial" w:hAnsi="Arial"/>
          <w:sz w:val="22"/>
        </w:rPr>
        <w:t>Text message "PAID" / "COD"</w:t>
      </w:r>
    </w:p>
    <w:p>
      <w:pPr>
        <w:numPr>
          <w:numId w:val="18"/>
        </w:numPr>
        <w:spacing w:before="120" w:after="120" w:line="288" w:lineRule="auto"/>
        <w:ind w:left="907"/>
        <w:jc w:val="left"/>
      </w:pPr>
      <w:r>
        <w:rPr>
          <w:rFonts w:eastAsia="等线" w:ascii="Arial" w:cs="Arial" w:hAnsi="Arial"/>
          <w:color w:val="dc9b04"/>
          <w:sz w:val="22"/>
        </w:rPr>
        <w:t>Able to update payment status on Sales order id before converting to DO for any Cash/COD customers(orders)</w:t>
      </w:r>
    </w:p>
    <w:p>
      <w:pPr>
        <w:numPr>
          <w:numId w:val="19"/>
        </w:numPr>
        <w:spacing w:before="120" w:after="120" w:line="288" w:lineRule="auto"/>
        <w:ind w:left="0"/>
        <w:jc w:val="left"/>
      </w:pPr>
      <w:r>
        <w:rPr>
          <w:rFonts w:eastAsia="等线" w:ascii="Arial" w:cs="Arial" w:hAnsi="Arial"/>
          <w:b w:val="true"/>
          <w:sz w:val="22"/>
        </w:rPr>
        <w:t>Invoice and DO Generation</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sz w:val="22"/>
        </w:rPr>
        <w:t>Generates pro-forma invoice and delivery orders(DO) upon order confirmation.</w:t>
      </w:r>
    </w:p>
    <w:p>
      <w:pPr>
        <w:numPr>
          <w:numId w:val="21"/>
        </w:numPr>
        <w:spacing w:before="120" w:after="120" w:line="288" w:lineRule="auto"/>
        <w:ind w:left="0"/>
        <w:jc w:val="left"/>
      </w:pPr>
      <w:r>
        <w:rPr>
          <w:rFonts w:eastAsia="等线" w:ascii="Arial" w:cs="Arial" w:hAnsi="Arial"/>
          <w:b w:val="true"/>
          <w:sz w:val="22"/>
        </w:rPr>
        <w:t>Cut-off Logic</w:t>
      </w:r>
      <w:r>
        <w:rPr>
          <w:rFonts w:eastAsia="等线" w:ascii="Arial" w:cs="Arial" w:hAnsi="Arial"/>
          <w:sz w:val="22"/>
        </w:rPr>
        <w:t xml:space="preserve"> – Orders confirmed ≤ 2 pm are routed for next-day delivery; later orders roll to following schedule.</w:t>
      </w:r>
    </w:p>
    <w:p>
      <w:pPr>
        <w:numPr>
          <w:numId w:val="22"/>
        </w:numPr>
        <w:spacing w:before="120" w:after="120" w:line="288" w:lineRule="auto"/>
        <w:ind w:left="0"/>
        <w:jc w:val="left"/>
      </w:pPr>
      <w:r>
        <w:rPr>
          <w:rFonts w:eastAsia="等线" w:ascii="Arial" w:cs="Arial" w:hAnsi="Arial"/>
          <w:b w:val="true"/>
          <w:sz w:val="22"/>
        </w:rPr>
        <w:t>Picking &amp; Routing</w:t>
      </w:r>
      <w:r>
        <w:rPr>
          <w:rFonts w:eastAsia="等线" w:ascii="Arial" w:cs="Arial" w:hAnsi="Arial"/>
          <w:sz w:val="22"/>
        </w:rPr>
        <w:t xml:space="preserve"> – Operations </w:t>
      </w:r>
      <w:r>
        <w:rPr>
          <w:rFonts w:eastAsia="等线" w:ascii="Arial" w:cs="Arial" w:hAnsi="Arial"/>
          <w:sz w:val="22"/>
        </w:rPr>
        <w:t>receive a</w:t>
      </w:r>
      <w:r>
        <w:rPr>
          <w:rFonts w:eastAsia="等线" w:ascii="Arial" w:cs="Arial" w:hAnsi="Arial"/>
          <w:sz w:val="22"/>
        </w:rPr>
        <w:t xml:space="preserve"> digital picking list; items packed and route finalised by EOD .</w:t>
      </w:r>
    </w:p>
    <w:p>
      <w:pPr>
        <w:numPr>
          <w:numId w:val="23"/>
        </w:numPr>
        <w:spacing w:before="120" w:after="120" w:line="288" w:lineRule="auto"/>
        <w:ind w:left="453"/>
        <w:jc w:val="left"/>
      </w:pPr>
      <w:r>
        <w:rPr>
          <w:rFonts w:eastAsia="等线" w:ascii="Arial" w:cs="Arial" w:hAnsi="Arial"/>
          <w:sz w:val="22"/>
        </w:rPr>
        <w:t>Update offline order picking completion status.</w:t>
      </w:r>
    </w:p>
    <w:p>
      <w:pPr>
        <w:numPr>
          <w:numId w:val="24"/>
        </w:numPr>
        <w:spacing w:before="120" w:after="120" w:line="288" w:lineRule="auto"/>
        <w:ind w:left="0"/>
        <w:jc w:val="left"/>
      </w:pPr>
      <w:r>
        <w:rPr>
          <w:rFonts w:eastAsia="等线" w:ascii="Arial" w:cs="Arial" w:hAnsi="Arial"/>
          <w:b w:val="true"/>
          <w:sz w:val="22"/>
        </w:rPr>
        <w:t>Dispatch &amp; Proof</w:t>
      </w:r>
      <w:r>
        <w:rPr>
          <w:rFonts w:eastAsia="等线" w:ascii="Arial" w:cs="Arial" w:hAnsi="Arial"/>
          <w:sz w:val="22"/>
        </w:rPr>
        <w:t xml:space="preserve"> – Driver sends photo proof via bot; bot returns image to Sales</w:t>
      </w:r>
    </w:p>
    <w:p>
      <w:pPr>
        <w:numPr>
          <w:numId w:val="25"/>
        </w:numPr>
        <w:spacing w:before="120" w:after="120" w:line="288" w:lineRule="auto"/>
        <w:ind w:left="0"/>
        <w:jc w:val="left"/>
      </w:pPr>
      <w:r>
        <w:rPr>
          <w:rFonts w:eastAsia="等线" w:ascii="Arial" w:cs="Arial" w:hAnsi="Arial"/>
          <w:b w:val="true"/>
          <w:sz w:val="22"/>
        </w:rPr>
        <w:t>Nightly Sync</w:t>
      </w:r>
      <w:r>
        <w:rPr>
          <w:rFonts w:eastAsia="等线" w:ascii="Arial" w:cs="Arial" w:hAnsi="Arial"/>
          <w:sz w:val="22"/>
        </w:rPr>
        <w:t xml:space="preserve"> – ERP pushes daily transactions to AutoCount at 23:00.</w:t>
      </w:r>
    </w:p>
    <w:p>
      <w:pPr>
        <w:numPr>
          <w:numId w:val="26"/>
        </w:numPr>
        <w:spacing w:before="120" w:after="120" w:line="288" w:lineRule="auto"/>
        <w:ind w:left="453"/>
        <w:jc w:val="left"/>
      </w:pPr>
      <w:r>
        <w:rPr>
          <w:rFonts w:eastAsia="等线" w:ascii="Arial" w:cs="Arial" w:hAnsi="Arial"/>
          <w:color w:val="dc9b04"/>
          <w:sz w:val="22"/>
        </w:rPr>
        <w:t>Upon DO is completed, the DO is to be converted to Sales invoice if there is no dispute</w:t>
      </w:r>
    </w:p>
    <w:p>
      <w:pPr>
        <w:numPr>
          <w:numId w:val="27"/>
        </w:numPr>
        <w:spacing w:before="120" w:after="120" w:line="288" w:lineRule="auto"/>
        <w:ind w:left="907"/>
        <w:jc w:val="left"/>
      </w:pPr>
      <w:r>
        <w:rPr>
          <w:rFonts w:eastAsia="等线" w:ascii="Arial" w:cs="Arial" w:hAnsi="Arial"/>
          <w:color w:val="dc9b04"/>
          <w:sz w:val="22"/>
        </w:rPr>
        <w:t xml:space="preserve"> Sales team to send copy to customers (a reminder will be included, </w:t>
      </w:r>
      <w:r>
        <w:rPr>
          <w:rFonts w:eastAsia="等线" w:ascii="Arial" w:cs="Arial" w:hAnsi="Arial"/>
          <w:i w:val="true"/>
          <w:color w:val="dc9b04"/>
          <w:sz w:val="22"/>
          <w:u w:val="single"/>
        </w:rPr>
        <w:t>Refer to Reminder Section</w:t>
      </w:r>
      <w:r>
        <w:rPr>
          <w:rFonts w:eastAsia="等线" w:ascii="Arial" w:cs="Arial" w:hAnsi="Arial"/>
          <w:color w:val="dc9b04"/>
          <w:sz w:val="22"/>
        </w:rPr>
        <w:t xml:space="preserve">) </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2.3 </w:t>
      </w:r>
      <w:r>
        <w:rPr>
          <w:rFonts w:eastAsia="等线" w:ascii="Arial" w:cs="Arial" w:hAnsi="Arial"/>
          <w:b w:val="true"/>
          <w:sz w:val="32"/>
        </w:rPr>
        <w:t>Functional Modules</w:t>
      </w:r>
      <w:bookmarkEnd w:id="6"/>
    </w:p>
    <w:p>
      <w:pPr>
        <w:numPr>
          <w:numId w:val="28"/>
        </w:numPr>
        <w:spacing w:before="120" w:after="120" w:line="288" w:lineRule="auto"/>
        <w:ind w:left="0"/>
        <w:jc w:val="left"/>
      </w:pPr>
      <w:r>
        <w:rPr>
          <w:rFonts w:eastAsia="等线" w:ascii="Arial" w:cs="Arial" w:hAnsi="Arial"/>
          <w:sz w:val="22"/>
        </w:rPr>
        <w:t>Order &amp; Quotation Management</w:t>
      </w:r>
    </w:p>
    <w:p>
      <w:pPr>
        <w:numPr>
          <w:numId w:val="29"/>
        </w:numPr>
        <w:spacing w:before="120" w:after="120" w:line="288" w:lineRule="auto"/>
        <w:ind w:left="453"/>
        <w:jc w:val="left"/>
      </w:pPr>
      <w:r>
        <w:rPr>
          <w:rFonts w:eastAsia="等线" w:ascii="Arial" w:cs="Arial" w:hAnsi="Arial"/>
          <w:sz w:val="22"/>
        </w:rPr>
        <w:t>Custom box Quotation module based on IAM excel sheet</w:t>
      </w:r>
    </w:p>
    <w:p>
      <w:pPr>
        <w:numPr>
          <w:numId w:val="30"/>
        </w:numPr>
        <w:spacing w:before="120" w:after="120" w:line="288" w:lineRule="auto"/>
        <w:ind w:left="0"/>
        <w:jc w:val="left"/>
      </w:pPr>
      <w:r>
        <w:rPr>
          <w:rFonts w:eastAsia="等线" w:ascii="Arial" w:cs="Arial" w:hAnsi="Arial"/>
          <w:sz w:val="22"/>
        </w:rPr>
        <w:t>Credit-Limit / Credit-Term Enforcement</w:t>
      </w:r>
    </w:p>
    <w:p>
      <w:pPr>
        <w:numPr>
          <w:numId w:val="31"/>
        </w:numPr>
        <w:spacing w:before="120" w:after="120" w:line="288" w:lineRule="auto"/>
        <w:ind w:left="0"/>
        <w:jc w:val="left"/>
      </w:pPr>
      <w:r>
        <w:rPr>
          <w:rFonts w:eastAsia="等线" w:ascii="Arial" w:cs="Arial" w:hAnsi="Arial"/>
          <w:sz w:val="22"/>
        </w:rPr>
        <w:t>Inventory &amp; Stock Tracking (incl. out-of-stock update via bot)</w:t>
      </w:r>
    </w:p>
    <w:p>
      <w:pPr>
        <w:numPr>
          <w:numId w:val="32"/>
        </w:numPr>
        <w:spacing w:before="120" w:after="120" w:line="288" w:lineRule="auto"/>
        <w:ind w:left="453"/>
        <w:jc w:val="left"/>
      </w:pPr>
      <w:r>
        <w:rPr>
          <w:rFonts w:eastAsia="等线" w:ascii="Arial" w:cs="Arial" w:hAnsi="Arial"/>
          <w:sz w:val="22"/>
        </w:rPr>
        <w:t xml:space="preserve"> Sync with Autocount to check product availability.</w:t>
      </w:r>
    </w:p>
    <w:p>
      <w:pPr>
        <w:numPr>
          <w:numId w:val="33"/>
        </w:numPr>
        <w:spacing w:before="120" w:after="120" w:line="288" w:lineRule="auto"/>
        <w:ind w:left="0"/>
        <w:jc w:val="left"/>
      </w:pPr>
      <w:r>
        <w:rPr>
          <w:rFonts w:eastAsia="等线" w:ascii="Arial" w:cs="Arial" w:hAnsi="Arial"/>
          <w:sz w:val="22"/>
        </w:rPr>
        <w:t>Delivery &amp; Driver Module (photo proof, Lalamove booking)</w:t>
      </w:r>
    </w:p>
    <w:p>
      <w:pPr>
        <w:numPr>
          <w:numId w:val="34"/>
        </w:numPr>
        <w:spacing w:before="120" w:after="120" w:line="288" w:lineRule="auto"/>
        <w:ind w:left="0"/>
        <w:jc w:val="left"/>
      </w:pPr>
      <w:r>
        <w:rPr>
          <w:rFonts w:eastAsia="等线" w:ascii="Arial" w:cs="Arial" w:hAnsi="Arial"/>
          <w:sz w:val="22"/>
        </w:rPr>
        <w:t xml:space="preserve">Auto Generation </w:t>
      </w:r>
    </w:p>
    <w:p>
      <w:pPr>
        <w:numPr>
          <w:numId w:val="35"/>
        </w:numPr>
        <w:spacing w:before="120" w:after="120" w:line="288" w:lineRule="auto"/>
        <w:ind w:left="453"/>
        <w:jc w:val="left"/>
      </w:pPr>
      <w:r>
        <w:rPr>
          <w:rFonts w:eastAsia="等线" w:ascii="Arial" w:cs="Arial" w:hAnsi="Arial"/>
          <w:sz w:val="22"/>
        </w:rPr>
        <w:t>Auto generate sales invoice upon completion and remind sales team to send a copy to customer</w:t>
      </w:r>
    </w:p>
    <w:p>
      <w:pPr>
        <w:numPr>
          <w:numId w:val="36"/>
        </w:numPr>
        <w:spacing w:before="120" w:after="120" w:line="288" w:lineRule="auto"/>
        <w:ind w:left="0"/>
        <w:jc w:val="left"/>
      </w:pPr>
      <w:r>
        <w:rPr>
          <w:rFonts w:eastAsia="等线" w:ascii="Arial" w:cs="Arial" w:hAnsi="Arial"/>
          <w:sz w:val="22"/>
        </w:rPr>
        <w:t>Approval Engine</w:t>
      </w:r>
    </w:p>
    <w:p>
      <w:pPr>
        <w:numPr>
          <w:numId w:val="37"/>
        </w:numPr>
        <w:spacing w:before="120" w:after="120" w:line="288" w:lineRule="auto"/>
        <w:ind w:left="453"/>
        <w:jc w:val="left"/>
      </w:pPr>
      <w:r>
        <w:rPr>
          <w:rFonts w:eastAsia="等线" w:ascii="Arial" w:cs="Arial" w:hAnsi="Arial"/>
          <w:sz w:val="22"/>
        </w:rPr>
        <w:t>Approval for Quotation/Sales order (Performa invoice) status if the selling price hits below min selling price</w:t>
      </w:r>
    </w:p>
    <w:p>
      <w:pPr>
        <w:numPr>
          <w:numId w:val="38"/>
        </w:numPr>
        <w:spacing w:before="120" w:after="120" w:line="288" w:lineRule="auto"/>
        <w:ind w:left="907"/>
        <w:jc w:val="left"/>
      </w:pPr>
      <w:r>
        <w:rPr>
          <w:rFonts w:eastAsia="等线" w:ascii="Arial" w:cs="Arial" w:hAnsi="Arial"/>
          <w:color w:val="dc9b04"/>
          <w:sz w:val="22"/>
        </w:rPr>
        <w:t xml:space="preserve">Custom boxes, uses Profit by RM and % (calculation will be discussed and align with </w:t>
      </w:r>
      <w:r>
        <w:rPr>
          <w:rFonts w:eastAsia="等线" w:ascii="Arial" w:cs="Arial" w:hAnsi="Arial"/>
          <w:b w:val="true"/>
          <w:color w:val="dc9b04"/>
          <w:sz w:val="22"/>
        </w:rPr>
        <w:t>IAM Worldwide Sdn Bhd)</w:t>
      </w:r>
    </w:p>
    <w:p>
      <w:pPr>
        <w:numPr>
          <w:numId w:val="39"/>
        </w:numPr>
        <w:spacing w:before="120" w:after="120" w:line="288" w:lineRule="auto"/>
        <w:ind w:left="453"/>
        <w:jc w:val="left"/>
      </w:pPr>
      <w:r>
        <w:rPr>
          <w:rFonts w:eastAsia="等线" w:ascii="Arial" w:cs="Arial" w:hAnsi="Arial"/>
          <w:sz w:val="22"/>
        </w:rPr>
        <w:t xml:space="preserve">Manual approval from management when customers near exceeding credit limit  before creating sales order </w:t>
      </w:r>
    </w:p>
    <w:p>
      <w:pPr>
        <w:numPr>
          <w:numId w:val="40"/>
        </w:numPr>
        <w:spacing w:before="120" w:after="120" w:line="288" w:lineRule="auto"/>
        <w:ind w:left="453"/>
        <w:jc w:val="left"/>
      </w:pPr>
      <w:r>
        <w:rPr>
          <w:rFonts w:eastAsia="等线" w:ascii="Arial" w:cs="Arial" w:hAnsi="Arial"/>
          <w:sz w:val="22"/>
        </w:rPr>
        <w:t>Approval if there are any changes to DO or DO item is not same as Performa invoice</w:t>
      </w:r>
    </w:p>
    <w:p>
      <w:pPr>
        <w:numPr>
          <w:numId w:val="41"/>
        </w:numPr>
        <w:spacing w:before="120" w:after="120" w:line="288" w:lineRule="auto"/>
        <w:ind w:left="0"/>
        <w:jc w:val="left"/>
      </w:pPr>
      <w:r>
        <w:rPr>
          <w:rFonts w:eastAsia="等线" w:ascii="Arial" w:cs="Arial" w:hAnsi="Arial"/>
          <w:sz w:val="22"/>
        </w:rPr>
        <w:t>Reminder Engine</w:t>
      </w:r>
    </w:p>
    <w:p>
      <w:pPr>
        <w:numPr>
          <w:numId w:val="42"/>
        </w:numPr>
        <w:spacing w:before="120" w:after="120" w:line="288" w:lineRule="auto"/>
        <w:ind w:left="453"/>
        <w:jc w:val="left"/>
      </w:pPr>
      <w:r>
        <w:rPr>
          <w:rFonts w:eastAsia="等线" w:ascii="Arial" w:cs="Arial" w:hAnsi="Arial"/>
          <w:sz w:val="22"/>
        </w:rPr>
        <w:t>Reminder of stock avail</w:t>
      </w:r>
      <w:r>
        <w:rPr>
          <w:rFonts w:eastAsia="等线" w:ascii="Arial" w:cs="Arial" w:hAnsi="Arial"/>
          <w:sz w:val="22"/>
        </w:rPr>
        <w:t>a</w:t>
      </w:r>
      <w:r>
        <w:rPr>
          <w:rFonts w:eastAsia="等线" w:ascii="Arial" w:cs="Arial" w:hAnsi="Arial"/>
          <w:sz w:val="22"/>
        </w:rPr>
        <w:t>bility</w:t>
      </w:r>
    </w:p>
    <w:p>
      <w:pPr>
        <w:numPr>
          <w:numId w:val="43"/>
        </w:numPr>
        <w:spacing w:before="120" w:after="120" w:line="288" w:lineRule="auto"/>
        <w:ind w:left="453"/>
        <w:jc w:val="left"/>
      </w:pPr>
      <w:r>
        <w:rPr>
          <w:rFonts w:eastAsia="等线" w:ascii="Arial" w:cs="Arial" w:hAnsi="Arial"/>
          <w:sz w:val="22"/>
        </w:rPr>
        <w:t>Reminder of delivery status</w:t>
      </w:r>
    </w:p>
    <w:p>
      <w:pPr>
        <w:numPr>
          <w:numId w:val="44"/>
        </w:numPr>
        <w:spacing w:before="120" w:after="120" w:line="288" w:lineRule="auto"/>
        <w:ind w:left="453"/>
        <w:jc w:val="left"/>
      </w:pPr>
      <w:r>
        <w:rPr>
          <w:rFonts w:eastAsia="等线" w:ascii="Arial" w:cs="Arial" w:hAnsi="Arial"/>
          <w:sz w:val="22"/>
        </w:rPr>
        <w:t xml:space="preserve">Reminder of follow up quotations </w:t>
      </w:r>
    </w:p>
    <w:p>
      <w:pPr>
        <w:numPr>
          <w:numId w:val="45"/>
        </w:numPr>
        <w:spacing w:before="120" w:after="120" w:line="288" w:lineRule="auto"/>
        <w:ind w:left="453"/>
        <w:jc w:val="left"/>
      </w:pPr>
      <w:r>
        <w:rPr>
          <w:rFonts w:eastAsia="等线" w:ascii="Arial" w:cs="Arial" w:hAnsi="Arial"/>
          <w:sz w:val="22"/>
        </w:rPr>
        <w:t>Reminder for sales team if the quotation/ sales order has not been converted to DO after 7 days</w:t>
      </w:r>
    </w:p>
    <w:p>
      <w:pPr>
        <w:numPr>
          <w:numId w:val="46"/>
        </w:numPr>
        <w:spacing w:before="120" w:after="120" w:line="288" w:lineRule="auto"/>
        <w:ind w:left="453"/>
        <w:jc w:val="left"/>
      </w:pPr>
      <w:r>
        <w:rPr>
          <w:rFonts w:eastAsia="等线" w:ascii="Arial" w:cs="Arial" w:hAnsi="Arial"/>
          <w:sz w:val="22"/>
        </w:rPr>
        <w:t>Reminder for management and sales team if customer last order more than 30 days. 60 days, 90 days</w:t>
      </w:r>
    </w:p>
    <w:p>
      <w:pPr>
        <w:numPr>
          <w:numId w:val="47"/>
        </w:numPr>
        <w:spacing w:before="120" w:after="120" w:line="288" w:lineRule="auto"/>
        <w:ind w:left="453"/>
        <w:jc w:val="left"/>
      </w:pPr>
      <w:r>
        <w:rPr>
          <w:rFonts w:eastAsia="等线" w:ascii="Arial" w:cs="Arial" w:hAnsi="Arial"/>
          <w:sz w:val="22"/>
        </w:rPr>
        <w:t>Reminder for sales team on outstanding payment</w:t>
      </w:r>
    </w:p>
    <w:p>
      <w:pPr>
        <w:numPr>
          <w:numId w:val="48"/>
        </w:numPr>
        <w:spacing w:before="120" w:after="120" w:line="288" w:lineRule="auto"/>
        <w:ind w:left="907"/>
        <w:jc w:val="left"/>
      </w:pPr>
      <w:r>
        <w:rPr>
          <w:rFonts w:eastAsia="等线" w:ascii="Arial" w:cs="Arial" w:hAnsi="Arial"/>
          <w:color w:val="dc9b04"/>
          <w:sz w:val="22"/>
        </w:rPr>
        <w:t>Upon sales order and before converting to DO for cash customer</w:t>
      </w:r>
    </w:p>
    <w:p>
      <w:pPr>
        <w:numPr>
          <w:numId w:val="49"/>
        </w:numPr>
        <w:spacing w:before="120" w:after="120" w:line="288" w:lineRule="auto"/>
        <w:ind w:left="907"/>
        <w:jc w:val="left"/>
      </w:pPr>
      <w:r>
        <w:rPr>
          <w:rFonts w:eastAsia="等线" w:ascii="Arial" w:cs="Arial" w:hAnsi="Arial"/>
          <w:color w:val="dc9b04"/>
          <w:sz w:val="22"/>
        </w:rPr>
        <w:t>Reminder for sales team about credit term customers approaching their credit term deadline</w:t>
      </w:r>
    </w:p>
    <w:p>
      <w:pPr>
        <w:numPr>
          <w:numId w:val="50"/>
        </w:numPr>
        <w:spacing w:before="120" w:after="120" w:line="288" w:lineRule="auto"/>
        <w:ind w:left="453"/>
        <w:jc w:val="left"/>
      </w:pPr>
      <w:r>
        <w:rPr>
          <w:rFonts w:eastAsia="等线" w:ascii="Arial" w:cs="Arial" w:hAnsi="Arial"/>
          <w:color w:val="dc9b04"/>
          <w:sz w:val="22"/>
        </w:rPr>
        <w:t xml:space="preserve">Reminder for sales order status to sales team </w:t>
      </w:r>
    </w:p>
    <w:p>
      <w:pPr>
        <w:numPr>
          <w:numId w:val="51"/>
        </w:numPr>
        <w:spacing w:before="120" w:after="120" w:line="288" w:lineRule="auto"/>
        <w:ind w:left="453"/>
        <w:jc w:val="left"/>
      </w:pPr>
      <w:r>
        <w:rPr>
          <w:rFonts w:eastAsia="等线" w:ascii="Arial" w:cs="Arial" w:hAnsi="Arial"/>
          <w:color w:val="dc9b04"/>
          <w:sz w:val="22"/>
        </w:rPr>
        <w:t>Reminder for sales team to send a copy of sales invoice to customers upon DO is completed and conversion to sales invoice has no dispute</w:t>
      </w:r>
    </w:p>
    <w:p>
      <w:pPr>
        <w:numPr>
          <w:numId w:val="52"/>
        </w:numPr>
        <w:spacing w:before="120" w:after="120" w:line="288" w:lineRule="auto"/>
        <w:ind w:left="0"/>
        <w:jc w:val="left"/>
      </w:pPr>
      <w:r>
        <w:rPr>
          <w:rFonts w:eastAsia="等线" w:ascii="Arial" w:cs="Arial" w:hAnsi="Arial"/>
          <w:sz w:val="22"/>
        </w:rPr>
        <w:t>Dashboard &amp; Analytics (overall sales, outstanding payments)</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4. </w:t>
      </w:r>
      <w:r>
        <w:rPr>
          <w:rFonts w:eastAsia="等线" w:ascii="Arial" w:cs="Arial" w:hAnsi="Arial"/>
          <w:b w:val="true"/>
          <w:sz w:val="30"/>
        </w:rPr>
        <w:t>Non-Functional Requirements</w:t>
      </w:r>
      <w:bookmarkEnd w:id="7"/>
    </w:p>
    <w:p>
      <w:pPr>
        <w:numPr>
          <w:numId w:val="53"/>
        </w:numPr>
        <w:spacing w:before="120" w:after="120" w:line="288" w:lineRule="auto"/>
        <w:ind w:left="0"/>
        <w:jc w:val="left"/>
      </w:pPr>
      <w:r>
        <w:rPr>
          <w:rFonts w:eastAsia="等线" w:ascii="Arial" w:cs="Arial" w:hAnsi="Arial"/>
          <w:sz w:val="22"/>
        </w:rPr>
        <w:t>Languages: English, Malay, Mandarin</w:t>
      </w:r>
    </w:p>
    <w:p>
      <w:pPr>
        <w:numPr>
          <w:numId w:val="54"/>
        </w:numPr>
        <w:spacing w:before="120" w:after="120" w:line="288" w:lineRule="auto"/>
        <w:ind w:left="0"/>
        <w:jc w:val="left"/>
      </w:pPr>
      <w:r>
        <w:rPr>
          <w:rFonts w:eastAsia="等线" w:ascii="Arial" w:cs="Arial" w:hAnsi="Arial"/>
          <w:sz w:val="22"/>
        </w:rPr>
        <w:t>Peak capacity: ≥ 60 concurrent internal chats / 30+ orders per day</w:t>
      </w:r>
    </w:p>
    <w:p>
      <w:pPr>
        <w:numPr>
          <w:numId w:val="55"/>
        </w:numPr>
        <w:spacing w:before="120" w:after="120" w:line="288" w:lineRule="auto"/>
        <w:ind w:left="0"/>
        <w:jc w:val="left"/>
      </w:pPr>
      <w:r>
        <w:rPr>
          <w:rFonts w:eastAsia="等线" w:ascii="Arial" w:cs="Arial" w:hAnsi="Arial"/>
          <w:sz w:val="22"/>
        </w:rPr>
        <w:t xml:space="preserve">Access: WhatsApp Business only; internal users </w:t>
      </w:r>
      <w:r>
        <w:rPr>
          <w:rFonts w:eastAsia="等线" w:ascii="Arial" w:cs="Arial" w:hAnsi="Arial"/>
          <w:sz w:val="22"/>
        </w:rPr>
        <w:t>during</w:t>
      </w:r>
      <w:r>
        <w:rPr>
          <w:rFonts w:eastAsia="等线" w:ascii="Arial" w:cs="Arial" w:hAnsi="Arial"/>
          <w:sz w:val="22"/>
        </w:rPr>
        <w:t xml:space="preserve"> business hours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3. </w:t>
      </w:r>
      <w:r>
        <w:rPr>
          <w:rFonts w:eastAsia="等线" w:ascii="Arial" w:cs="Arial" w:hAnsi="Arial"/>
          <w:b w:val="true"/>
          <w:sz w:val="36"/>
        </w:rPr>
        <w:t>Acceptance Criteria</w:t>
      </w:r>
      <w:bookmarkEnd w:id="8"/>
    </w:p>
    <w:p>
      <w:pPr>
        <w:numPr>
          <w:numId w:val="56"/>
        </w:numPr>
        <w:spacing w:before="120" w:after="120" w:line="288" w:lineRule="auto"/>
        <w:ind w:left="0"/>
        <w:jc w:val="left"/>
      </w:pPr>
      <w:r>
        <w:rPr>
          <w:rFonts w:eastAsia="等线" w:ascii="Arial" w:cs="Arial" w:hAnsi="Arial"/>
          <w:sz w:val="22"/>
        </w:rPr>
        <w:t>100 % automated DO &amp; Invoice generation for qualifying orders</w:t>
      </w:r>
    </w:p>
    <w:p>
      <w:pPr>
        <w:numPr>
          <w:numId w:val="57"/>
        </w:numPr>
        <w:spacing w:before="120" w:after="120" w:line="288" w:lineRule="auto"/>
        <w:ind w:left="0"/>
        <w:jc w:val="left"/>
      </w:pPr>
      <w:r>
        <w:rPr>
          <w:rFonts w:eastAsia="等线" w:ascii="Arial" w:cs="Arial" w:hAnsi="Arial"/>
          <w:sz w:val="22"/>
        </w:rPr>
        <w:t>Credit checks block invoice creation when limits exceeded</w:t>
      </w:r>
    </w:p>
    <w:p>
      <w:pPr>
        <w:numPr>
          <w:numId w:val="58"/>
        </w:numPr>
        <w:spacing w:before="120" w:after="120" w:line="288" w:lineRule="auto"/>
        <w:ind w:left="0"/>
        <w:jc w:val="left"/>
      </w:pPr>
      <w:r>
        <w:rPr>
          <w:rFonts w:eastAsia="等线" w:ascii="Arial" w:cs="Arial" w:hAnsi="Arial"/>
          <w:sz w:val="22"/>
        </w:rPr>
        <w:t>Proof-of-delivery image stored and viewable within 5 minutes of driver upload</w:t>
      </w:r>
    </w:p>
    <w:p>
      <w:pPr>
        <w:numPr>
          <w:numId w:val="59"/>
        </w:numPr>
        <w:spacing w:before="120" w:after="120" w:line="288" w:lineRule="auto"/>
        <w:ind w:left="0"/>
        <w:jc w:val="left"/>
      </w:pPr>
      <w:r>
        <w:rPr>
          <w:rFonts w:eastAsia="等线" w:ascii="Arial" w:cs="Arial" w:hAnsi="Arial"/>
          <w:sz w:val="22"/>
        </w:rPr>
        <w:t>Nightly sync logs show ≤ 0.1 % failed records over a 30-day UAT window</w:t>
      </w:r>
    </w:p>
    <w:p>
      <w:pPr>
        <w:spacing w:before="120" w:after="120" w:line="288" w:lineRule="auto"/>
        <w:ind w:left="0"/>
        <w:jc w:val="left"/>
      </w:pPr>
      <w:r>
        <w:rPr>
          <w:rFonts w:eastAsia="等线" w:ascii="Arial" w:cs="Arial" w:hAnsi="Arial"/>
          <w:i w:val="true"/>
          <w:sz w:val="22"/>
        </w:rPr>
        <w:t>Note: A more detailed breakdown of the acceptance criteria will be provided to Fixguru during the UAT period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Out-of-Scope</w:t>
      </w:r>
      <w:bookmarkEnd w:id="9"/>
    </w:p>
    <w:p>
      <w:pPr>
        <w:numPr>
          <w:numId w:val="60"/>
        </w:numPr>
        <w:spacing w:before="120" w:after="120" w:line="288" w:lineRule="auto"/>
        <w:ind w:left="0"/>
        <w:jc w:val="left"/>
      </w:pPr>
      <w:r>
        <w:rPr>
          <w:rFonts w:eastAsia="等线" w:ascii="Arial" w:cs="Arial" w:hAnsi="Arial"/>
          <w:sz w:val="22"/>
        </w:rPr>
        <w:t>Customer-facing (B2C) chat flows</w:t>
      </w:r>
    </w:p>
    <w:p>
      <w:pPr>
        <w:numPr>
          <w:numId w:val="61"/>
        </w:numPr>
        <w:spacing w:before="120" w:after="120" w:line="288" w:lineRule="auto"/>
        <w:ind w:left="0"/>
        <w:jc w:val="left"/>
      </w:pPr>
      <w:r>
        <w:rPr>
          <w:rFonts w:eastAsia="等线" w:ascii="Arial" w:cs="Arial" w:hAnsi="Arial"/>
          <w:sz w:val="22"/>
        </w:rPr>
        <w:t>Handling of product refunds and returns (manual process remains)</w:t>
      </w:r>
    </w:p>
    <w:p>
      <w:pPr>
        <w:numPr>
          <w:numId w:val="62"/>
        </w:numPr>
        <w:spacing w:before="120" w:after="120" w:line="288" w:lineRule="auto"/>
        <w:ind w:left="0"/>
        <w:jc w:val="left"/>
      </w:pPr>
      <w:r>
        <w:rPr>
          <w:rFonts w:eastAsia="等线" w:ascii="Arial" w:cs="Arial" w:hAnsi="Arial"/>
          <w:sz w:val="22"/>
        </w:rPr>
        <w:t>Promo-code and seasonal campaign logic (not required)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5. </w:t>
      </w:r>
      <w:r>
        <w:rPr>
          <w:rFonts w:eastAsia="等线" w:ascii="Arial" w:cs="Arial" w:hAnsi="Arial"/>
          <w:b w:val="true"/>
          <w:sz w:val="36"/>
        </w:rPr>
        <w:t>Assumptions &amp; Dependencies</w:t>
      </w:r>
      <w:bookmarkEnd w:id="10"/>
    </w:p>
    <w:p>
      <w:pPr>
        <w:numPr>
          <w:numId w:val="63"/>
        </w:numPr>
        <w:spacing w:before="120" w:after="120" w:line="288" w:lineRule="auto"/>
        <w:ind w:left="0"/>
        <w:jc w:val="left"/>
      </w:pPr>
      <w:r>
        <w:rPr>
          <w:rFonts w:eastAsia="等线" w:ascii="Arial" w:cs="Arial" w:hAnsi="Arial"/>
          <w:sz w:val="22"/>
        </w:rPr>
        <w:t>Fixguru provides active WhatsApp Business number for bot deployment.</w:t>
      </w:r>
    </w:p>
    <w:p>
      <w:pPr>
        <w:numPr>
          <w:numId w:val="64"/>
        </w:numPr>
        <w:spacing w:before="120" w:after="120" w:line="288" w:lineRule="auto"/>
        <w:ind w:left="0"/>
        <w:jc w:val="left"/>
      </w:pPr>
      <w:r>
        <w:rPr>
          <w:rFonts w:eastAsia="等线" w:ascii="Arial" w:cs="Arial" w:hAnsi="Arial"/>
          <w:sz w:val="22"/>
        </w:rPr>
        <w:t>AutoCount API and server access are available for nightly sync.</w:t>
      </w:r>
    </w:p>
    <w:p>
      <w:pPr>
        <w:numPr>
          <w:numId w:val="65"/>
        </w:numPr>
        <w:spacing w:before="120" w:after="120" w:line="288" w:lineRule="auto"/>
        <w:ind w:left="0"/>
        <w:jc w:val="left"/>
      </w:pPr>
      <w:r>
        <w:rPr>
          <w:rFonts w:eastAsia="等线" w:ascii="Arial" w:cs="Arial" w:hAnsi="Arial"/>
          <w:sz w:val="22"/>
        </w:rPr>
        <w:t>Lalamove account credentials supplied by Fixguru.</w:t>
      </w:r>
    </w:p>
    <w:p>
      <w:pPr>
        <w:numPr>
          <w:numId w:val="66"/>
        </w:numPr>
        <w:spacing w:before="120" w:after="120" w:line="288" w:lineRule="auto"/>
        <w:ind w:left="0"/>
        <w:jc w:val="left"/>
      </w:pPr>
      <w:r>
        <w:rPr>
          <w:rFonts w:eastAsia="等线" w:ascii="Arial" w:cs="Arial" w:hAnsi="Arial"/>
          <w:sz w:val="22"/>
        </w:rPr>
        <w:t>Internal roles (Sales, Operations, Driver, Accounts, Management) are allocated and trained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Estimated Timeline</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247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Activity</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Duration</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Requirements Finalisation</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1</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Development Commence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2</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Commence</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 6</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7. </w:t>
      </w:r>
      <w:r>
        <w:rPr>
          <w:rFonts w:eastAsia="等线" w:ascii="Arial" w:cs="Arial" w:hAnsi="Arial"/>
          <w:b w:val="true"/>
          <w:sz w:val="36"/>
        </w:rPr>
        <w:t xml:space="preserve">Commercial </w:t>
      </w:r>
      <w:bookmarkEnd w:id="12"/>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7.1 </w:t>
      </w:r>
      <w:r>
        <w:rPr>
          <w:rFonts w:eastAsia="等线" w:ascii="Arial" w:cs="Arial" w:hAnsi="Arial"/>
          <w:b w:val="true"/>
          <w:sz w:val="32"/>
        </w:rPr>
        <w:t>One-off Development Cost</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45"/>
        <w:gridCol w:w="1500"/>
      </w:tblGrid>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r>
      <w:tr>
        <w:tc>
          <w:tcPr>
            <w:tcW w:w="4845"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sz w:val="22"/>
              </w:rPr>
              <w:t>MAIA Internal Chatbot</w:t>
            </w:r>
          </w:p>
          <w:p>
            <w:pPr>
              <w:numPr>
                <w:numId w:val="68"/>
              </w:numPr>
              <w:spacing w:before="120" w:after="120" w:line="288" w:lineRule="auto"/>
              <w:ind w:left="0"/>
              <w:jc w:val="left"/>
            </w:pPr>
            <w:r>
              <w:rPr>
                <w:rFonts w:eastAsia="等线" w:ascii="Arial" w:cs="Arial" w:hAnsi="Arial"/>
                <w:sz w:val="22"/>
              </w:rPr>
              <w:t>Customizations:</w:t>
            </w:r>
          </w:p>
          <w:p>
            <w:pPr>
              <w:numPr>
                <w:numId w:val="69"/>
              </w:numPr>
              <w:spacing w:before="120" w:after="120" w:line="288" w:lineRule="auto"/>
              <w:ind w:left="453"/>
              <w:jc w:val="left"/>
            </w:pPr>
            <w:r>
              <w:rPr>
                <w:rFonts w:eastAsia="等线" w:ascii="Arial" w:cs="Arial" w:hAnsi="Arial"/>
                <w:sz w:val="22"/>
              </w:rPr>
              <w:t>Dashboard &amp; Analytics</w:t>
            </w:r>
          </w:p>
          <w:p>
            <w:pPr>
              <w:numPr>
                <w:numId w:val="70"/>
              </w:numPr>
              <w:spacing w:before="120" w:after="120" w:line="288" w:lineRule="auto"/>
              <w:ind w:left="453"/>
              <w:jc w:val="left"/>
            </w:pPr>
            <w:r>
              <w:rPr>
                <w:rFonts w:eastAsia="等线" w:ascii="Arial" w:cs="Arial" w:hAnsi="Arial"/>
                <w:sz w:val="22"/>
              </w:rPr>
              <w:t>Approval Flow</w:t>
            </w:r>
          </w:p>
          <w:p>
            <w:pPr>
              <w:numPr>
                <w:numId w:val="71"/>
              </w:numPr>
              <w:spacing w:before="120" w:after="120" w:line="288" w:lineRule="auto"/>
              <w:ind w:left="453"/>
              <w:jc w:val="left"/>
            </w:pPr>
            <w:r>
              <w:rPr>
                <w:rFonts w:eastAsia="等线" w:ascii="Arial" w:cs="Arial" w:hAnsi="Arial"/>
                <w:sz w:val="22"/>
              </w:rPr>
              <w:t>Payment &amp; Credit Check</w:t>
            </w:r>
          </w:p>
          <w:p>
            <w:pPr>
              <w:numPr>
                <w:numId w:val="72"/>
              </w:numPr>
              <w:spacing w:before="120" w:after="120" w:line="288" w:lineRule="auto"/>
              <w:ind w:left="453"/>
              <w:jc w:val="left"/>
            </w:pPr>
            <w:r>
              <w:rPr>
                <w:rFonts w:eastAsia="等线" w:ascii="Arial" w:cs="Arial" w:hAnsi="Arial"/>
                <w:sz w:val="22"/>
              </w:rPr>
              <w:t>Integration to Lalamove API</w:t>
            </w:r>
          </w:p>
          <w:p>
            <w:pPr>
              <w:numPr>
                <w:numId w:val="73"/>
              </w:numPr>
              <w:spacing w:before="120" w:after="120" w:line="288" w:lineRule="auto"/>
              <w:ind w:left="0"/>
              <w:jc w:val="left"/>
            </w:pPr>
            <w:r>
              <w:rPr>
                <w:rFonts w:eastAsia="等线" w:ascii="Arial" w:cs="Arial" w:hAnsi="Arial"/>
                <w:sz w:val="22"/>
              </w:rPr>
              <w:t>Periodic System and Feature Updates</w:t>
            </w:r>
          </w:p>
          <w:p>
            <w:pPr>
              <w:numPr>
                <w:numId w:val="74"/>
              </w:numPr>
              <w:spacing w:before="120" w:after="120" w:line="288" w:lineRule="auto"/>
              <w:ind w:left="0"/>
              <w:jc w:val="left"/>
            </w:pPr>
            <w:r>
              <w:rPr>
                <w:rFonts w:eastAsia="等线" w:ascii="Arial" w:cs="Arial" w:hAnsi="Arial"/>
                <w:sz w:val="22"/>
              </w:rPr>
              <w:t>Storage, Model Training, Ingestion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48,000</w:t>
            </w:r>
          </w:p>
        </w:tc>
      </w:tr>
    </w:tbl>
    <w:p>
      <w:pPr>
        <w:pStyle w:val="2"/>
        <w:spacing w:before="320" w:after="120" w:line="288" w:lineRule="auto"/>
        <w:ind w:left="0"/>
        <w:jc w:val="left"/>
        <w:outlineLvl w:val="1"/>
      </w:pPr>
      <w:bookmarkStart w:name="heading_14" w:id="14"/>
      <w:r>
        <w:rPr>
          <w:rFonts w:eastAsia="等线" w:ascii="Arial" w:cs="Arial" w:hAnsi="Arial"/>
          <w:color w:val="3370ff"/>
          <w:sz w:val="32"/>
        </w:rPr>
        <w:t xml:space="preserve">7.2 </w:t>
      </w:r>
      <w:r>
        <w:rPr>
          <w:rFonts w:eastAsia="等线" w:ascii="Arial" w:cs="Arial" w:hAnsi="Arial"/>
          <w:b w:val="true"/>
          <w:sz w:val="32"/>
        </w:rPr>
        <w:t xml:space="preserve">Fixguru's </w:t>
      </w:r>
      <w:r>
        <w:rPr>
          <w:rFonts w:eastAsia="等线" w:ascii="Arial" w:cs="Arial" w:hAnsi="Arial"/>
          <w:b w:val="true"/>
          <w:sz w:val="32"/>
        </w:rPr>
        <w:t>Monthly</w:t>
      </w:r>
      <w:r>
        <w:rPr>
          <w:rFonts w:eastAsia="等线" w:ascii="Arial" w:cs="Arial" w:hAnsi="Arial"/>
          <w:b w:val="true"/>
          <w:sz w:val="32"/>
        </w:rPr>
        <w:t xml:space="preserve"> </w:t>
      </w:r>
      <w:r>
        <w:rPr>
          <w:rFonts w:eastAsia="等线" w:ascii="Arial" w:cs="Arial" w:hAnsi="Arial"/>
          <w:b w:val="true"/>
          <w:sz w:val="32"/>
        </w:rPr>
        <w:t xml:space="preserve">Maintenance </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475"/>
        <w:gridCol w:w="2805"/>
      </w:tblGrid>
      <w:tr>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Item</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Estimated</w:t>
            </w:r>
          </w:p>
        </w:tc>
      </w:tr>
      <w:tr>
        <w:tc>
          <w:tcPr>
            <w:tcW w:w="5475" w:type="dxa"/>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sz w:val="22"/>
              </w:rPr>
              <w:t>OpenAI cost</w:t>
            </w:r>
          </w:p>
          <w:p>
            <w:pPr>
              <w:numPr>
                <w:numId w:val="76"/>
              </w:numPr>
              <w:spacing w:before="120" w:after="120" w:line="288" w:lineRule="auto"/>
              <w:ind w:left="0"/>
              <w:jc w:val="left"/>
            </w:pPr>
            <w:r>
              <w:rPr>
                <w:rFonts w:eastAsia="等线" w:ascii="Arial" w:cs="Arial" w:hAnsi="Arial"/>
                <w:sz w:val="22"/>
              </w:rPr>
              <w:t>Platform Costs</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RM 1,</w:t>
            </w:r>
            <w:r>
              <w:rPr>
                <w:rFonts w:eastAsia="等线" w:ascii="Arial" w:cs="Arial" w:hAnsi="Arial"/>
                <w:sz w:val="22"/>
              </w:rPr>
              <w:t>0</w:t>
            </w:r>
            <w:r>
              <w:rPr>
                <w:rFonts w:eastAsia="等线" w:ascii="Arial" w:cs="Arial" w:hAnsi="Arial"/>
                <w:sz w:val="22"/>
              </w:rPr>
              <w:t>00</w:t>
            </w:r>
          </w:p>
          <w:p>
            <w:pPr>
              <w:spacing w:before="120" w:after="120" w:line="288" w:lineRule="auto"/>
              <w:ind w:left="0"/>
              <w:jc w:val="left"/>
            </w:pPr>
            <w:r>
              <w:rPr>
                <w:rFonts w:eastAsia="等线" w:ascii="Arial" w:cs="Arial" w:hAnsi="Arial"/>
                <w:i w:val="true"/>
                <w:sz w:val="22"/>
              </w:rPr>
              <w:t>*depending on usage</w:t>
            </w:r>
          </w:p>
        </w:tc>
      </w:tr>
      <w:tr>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 Costs</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200</w:t>
            </w:r>
          </w:p>
        </w:tc>
      </w:tr>
    </w:tbl>
    <w:p>
      <w:pPr>
        <w:pStyle w:val="2"/>
        <w:spacing w:before="320" w:after="120" w:line="288" w:lineRule="auto"/>
        <w:ind w:left="0"/>
        <w:jc w:val="left"/>
        <w:outlineLvl w:val="1"/>
      </w:pPr>
      <w:bookmarkStart w:name="heading_15" w:id="15"/>
      <w:r>
        <w:rPr>
          <w:rFonts w:eastAsia="等线" w:ascii="Arial" w:cs="Arial" w:hAnsi="Arial"/>
          <w:color w:val="3370ff"/>
          <w:sz w:val="32"/>
        </w:rPr>
        <w:t xml:space="preserve">7.3 </w:t>
      </w:r>
      <w:r>
        <w:rPr>
          <w:rFonts w:eastAsia="等线" w:ascii="Arial" w:cs="Arial" w:hAnsi="Arial"/>
          <w:b w:val="true"/>
          <w:sz w:val="32"/>
        </w:rPr>
        <w:t>Payment Terms</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85"/>
        <w:gridCol w:w="1500"/>
        <w:gridCol w:w="2445"/>
      </w:tblGrid>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Milestone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Percentage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Price</w:t>
            </w:r>
          </w:p>
        </w:tc>
      </w:tr>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Milestone 1 - Project Confirmation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tc>
      </w:tr>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Milestone 2 - UAT </w:t>
            </w:r>
            <w:r>
              <w:rPr>
                <w:rFonts w:eastAsia="等线" w:ascii="Arial" w:cs="Arial" w:hAnsi="Arial"/>
                <w:sz w:val="22"/>
              </w:rPr>
              <w:t>Completion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8. </w:t>
      </w:r>
      <w:r>
        <w:rPr>
          <w:rFonts w:eastAsia="等线" w:ascii="Arial" w:cs="Arial" w:hAnsi="Arial"/>
          <w:b w:val="true"/>
          <w:sz w:val="36"/>
        </w:rPr>
        <w:t>Service Level Agreement (SLA) and Maintenance</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8.1 </w:t>
      </w:r>
      <w:r>
        <w:rPr>
          <w:rFonts w:eastAsia="等线" w:ascii="Arial" w:cs="Arial" w:hAnsi="Arial"/>
          <w:b w:val="true"/>
          <w:sz w:val="32"/>
        </w:rPr>
        <w:t>Service Commitment</w:t>
      </w:r>
      <w:bookmarkEnd w:id="17"/>
    </w:p>
    <w:p>
      <w:pPr>
        <w:spacing w:before="120" w:after="120" w:line="288" w:lineRule="auto"/>
        <w:ind w:left="0"/>
        <w:jc w:val="left"/>
      </w:pPr>
      <w:r>
        <w:rPr>
          <w:rFonts w:eastAsia="等线" w:ascii="Arial" w:cs="Arial" w:hAnsi="Arial"/>
          <w:sz w:val="22"/>
        </w:rPr>
        <w:t>Mindhive shall provide maintenance and support services for the Fixguru version consistent with the service levels described in the attached SLA. The SLA shall govern response times, system uptime, scheduled maintenance, and remediation procedures for service failures.</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8.2 </w:t>
      </w:r>
      <w:r>
        <w:rPr>
          <w:rFonts w:eastAsia="等线" w:ascii="Arial" w:cs="Arial" w:hAnsi="Arial"/>
          <w:b w:val="true"/>
          <w:sz w:val="32"/>
        </w:rPr>
        <w:t>Service Levels and Performance Metrics</w:t>
      </w:r>
      <w:bookmarkEnd w:id="18"/>
    </w:p>
    <w:p>
      <w:pPr>
        <w:spacing w:before="120" w:after="120" w:line="288" w:lineRule="auto"/>
        <w:ind w:left="0"/>
        <w:jc w:val="left"/>
      </w:pPr>
      <w:r>
        <w:rPr>
          <w:rFonts w:eastAsia="等线" w:ascii="Arial" w:cs="Arial" w:hAnsi="Arial"/>
          <w:b w:val="true"/>
          <w:sz w:val="22"/>
        </w:rPr>
        <w:t>Service Availability</w:t>
      </w:r>
    </w:p>
    <w:p>
      <w:pPr>
        <w:numPr>
          <w:numId w:val="77"/>
        </w:numPr>
        <w:spacing w:before="120" w:after="120" w:line="288" w:lineRule="auto"/>
        <w:ind w:left="0"/>
        <w:jc w:val="left"/>
      </w:pPr>
      <w:r>
        <w:rPr>
          <w:rFonts w:eastAsia="等线" w:ascii="Arial" w:cs="Arial" w:hAnsi="Arial"/>
          <w:sz w:val="22"/>
        </w:rPr>
        <w:t xml:space="preserve">The chatbot will be available </w:t>
      </w:r>
      <w:r>
        <w:rPr>
          <w:rFonts w:eastAsia="等线" w:ascii="Arial" w:cs="Arial" w:hAnsi="Arial"/>
          <w:b w:val="true"/>
          <w:sz w:val="22"/>
        </w:rPr>
        <w:t>99.5% of the time</w:t>
      </w:r>
      <w:r>
        <w:rPr>
          <w:rFonts w:eastAsia="等线" w:ascii="Arial" w:cs="Arial" w:hAnsi="Arial"/>
          <w:sz w:val="22"/>
        </w:rPr>
        <w:t>, excluding planned maintenance periods.</w:t>
      </w:r>
    </w:p>
    <w:p>
      <w:pPr>
        <w:numPr>
          <w:numId w:val="78"/>
        </w:numPr>
        <w:spacing w:before="120" w:after="120" w:line="288" w:lineRule="auto"/>
        <w:ind w:left="0"/>
        <w:jc w:val="left"/>
      </w:pPr>
      <w:r>
        <w:rPr>
          <w:rFonts w:eastAsia="等线" w:ascii="Arial" w:cs="Arial" w:hAnsi="Arial"/>
          <w:sz w:val="22"/>
        </w:rPr>
        <w:t xml:space="preserve">Planned maintenance will be scheduled outside of regular working hours with prior notification to users at least </w:t>
      </w:r>
      <w:r>
        <w:rPr>
          <w:rFonts w:eastAsia="等线" w:ascii="Arial" w:cs="Arial" w:hAnsi="Arial"/>
          <w:b w:val="true"/>
          <w:sz w:val="22"/>
        </w:rPr>
        <w:t>24 hours in advance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Support Response Times</w:t>
      </w:r>
    </w:p>
    <w:p>
      <w:pPr>
        <w:numPr>
          <w:numId w:val="79"/>
        </w:numPr>
        <w:spacing w:before="120" w:after="120" w:line="288" w:lineRule="auto"/>
        <w:ind w:left="0"/>
        <w:jc w:val="left"/>
      </w:pPr>
      <w:r>
        <w:rPr>
          <w:rFonts w:eastAsia="等线" w:ascii="Arial" w:cs="Arial" w:hAnsi="Arial"/>
          <w:b w:val="true"/>
          <w:sz w:val="22"/>
        </w:rPr>
        <w:t>Critical Issues (High Impact):</w:t>
      </w:r>
      <w:r>
        <w:rPr>
          <w:rFonts w:eastAsia="等线" w:ascii="Arial" w:cs="Arial" w:hAnsi="Arial"/>
          <w:sz w:val="22"/>
        </w:rPr>
        <w:t xml:space="preserve"> Response within </w:t>
      </w:r>
      <w:r>
        <w:rPr>
          <w:rFonts w:eastAsia="等线" w:ascii="Arial" w:cs="Arial" w:hAnsi="Arial"/>
          <w:b w:val="true"/>
          <w:sz w:val="22"/>
        </w:rPr>
        <w:t>2 hours</w:t>
      </w:r>
      <w:r>
        <w:rPr>
          <w:rFonts w:eastAsia="等线" w:ascii="Arial" w:cs="Arial" w:hAnsi="Arial"/>
          <w:sz w:val="22"/>
        </w:rPr>
        <w:t xml:space="preserve"> during business hours (Monday to Friday, 9 AM to 6 PM). Issues that severely impact application functionality or data integrity.</w:t>
      </w:r>
    </w:p>
    <w:p>
      <w:pPr>
        <w:numPr>
          <w:numId w:val="80"/>
        </w:numPr>
        <w:spacing w:before="120" w:after="120" w:line="288" w:lineRule="auto"/>
        <w:ind w:left="0"/>
        <w:jc w:val="left"/>
      </w:pPr>
      <w:r>
        <w:rPr>
          <w:rFonts w:eastAsia="等线" w:ascii="Arial" w:cs="Arial" w:hAnsi="Arial"/>
          <w:b w:val="true"/>
          <w:sz w:val="22"/>
        </w:rPr>
        <w:t>Major Issues (Medium Impact):</w:t>
      </w:r>
      <w:r>
        <w:rPr>
          <w:rFonts w:eastAsia="等线" w:ascii="Arial" w:cs="Arial" w:hAnsi="Arial"/>
          <w:sz w:val="22"/>
        </w:rPr>
        <w:t xml:space="preserve"> Response within </w:t>
      </w:r>
      <w:r>
        <w:rPr>
          <w:rFonts w:eastAsia="等线" w:ascii="Arial" w:cs="Arial" w:hAnsi="Arial"/>
          <w:b w:val="true"/>
          <w:sz w:val="22"/>
        </w:rPr>
        <w:t>4 hours</w:t>
      </w:r>
      <w:r>
        <w:rPr>
          <w:rFonts w:eastAsia="等线" w:ascii="Arial" w:cs="Arial" w:hAnsi="Arial"/>
          <w:sz w:val="22"/>
        </w:rPr>
        <w:t>. Issues that affect non-essential features but still impair user experience or productivity.</w:t>
      </w:r>
    </w:p>
    <w:p>
      <w:pPr>
        <w:numPr>
          <w:numId w:val="81"/>
        </w:numPr>
        <w:spacing w:before="120" w:after="120" w:line="288" w:lineRule="auto"/>
        <w:ind w:left="0"/>
        <w:jc w:val="left"/>
      </w:pPr>
      <w:r>
        <w:rPr>
          <w:rFonts w:eastAsia="等线" w:ascii="Arial" w:cs="Arial" w:hAnsi="Arial"/>
          <w:b w:val="true"/>
          <w:sz w:val="22"/>
        </w:rPr>
        <w:t>Minor Issues (Low Impact):</w:t>
      </w:r>
      <w:r>
        <w:rPr>
          <w:rFonts w:eastAsia="等线" w:ascii="Arial" w:cs="Arial" w:hAnsi="Arial"/>
          <w:sz w:val="22"/>
        </w:rPr>
        <w:t xml:space="preserve"> Response within </w:t>
      </w:r>
      <w:r>
        <w:rPr>
          <w:rFonts w:eastAsia="等线" w:ascii="Arial" w:cs="Arial" w:hAnsi="Arial"/>
          <w:b w:val="true"/>
          <w:sz w:val="22"/>
        </w:rPr>
        <w:t>1 business day</w:t>
      </w:r>
      <w:r>
        <w:rPr>
          <w:rFonts w:eastAsia="等线" w:ascii="Arial" w:cs="Arial" w:hAnsi="Arial"/>
          <w:sz w:val="22"/>
        </w:rPr>
        <w:t>. Issues that have minimal effect on functionality or user experience.</w:t>
      </w:r>
    </w:p>
    <w:p>
      <w:pPr>
        <w:spacing w:before="120" w:after="120" w:line="288" w:lineRule="auto"/>
        <w:ind w:left="0"/>
        <w:jc w:val="left"/>
      </w:pPr>
      <w:r>
        <w:rPr>
          <w:rFonts w:eastAsia="等线" w:ascii="Arial" w:cs="Arial" w:hAnsi="Arial"/>
          <w:b w:val="true"/>
          <w:sz w:val="22"/>
        </w:rPr>
        <w:t>Resolution Times</w:t>
      </w:r>
    </w:p>
    <w:p>
      <w:pPr>
        <w:spacing w:before="120" w:after="120" w:line="288" w:lineRule="auto"/>
        <w:ind w:left="0"/>
        <w:jc w:val="left"/>
      </w:pPr>
      <w:r>
        <w:rPr>
          <w:rFonts w:eastAsia="等线" w:ascii="Arial" w:cs="Arial" w:hAnsi="Arial"/>
          <w:sz w:val="22"/>
        </w:rPr>
        <w:t>Standard cases will follow the schedule outlined below. For special cases, Mindhive will provide a root cause analysis and an estimated timeline for resolution.</w:t>
      </w:r>
    </w:p>
    <w:p>
      <w:pPr>
        <w:numPr>
          <w:numId w:val="82"/>
        </w:numPr>
        <w:spacing w:before="120" w:after="120" w:line="288" w:lineRule="auto"/>
        <w:ind w:left="0"/>
        <w:jc w:val="left"/>
      </w:pPr>
      <w:r>
        <w:rPr>
          <w:rFonts w:eastAsia="等线" w:ascii="Arial" w:cs="Arial" w:hAnsi="Arial"/>
          <w:b w:val="true"/>
          <w:sz w:val="22"/>
        </w:rPr>
        <w:t>Critical Issues:</w:t>
      </w:r>
      <w:r>
        <w:rPr>
          <w:rFonts w:eastAsia="等线" w:ascii="Arial" w:cs="Arial" w:hAnsi="Arial"/>
          <w:sz w:val="22"/>
        </w:rPr>
        <w:t xml:space="preserve"> Resolution or workaround provided within </w:t>
      </w:r>
      <w:r>
        <w:rPr>
          <w:rFonts w:eastAsia="等线" w:ascii="Arial" w:cs="Arial" w:hAnsi="Arial"/>
          <w:b w:val="true"/>
          <w:sz w:val="22"/>
        </w:rPr>
        <w:t>8 business hours</w:t>
      </w:r>
      <w:r>
        <w:rPr>
          <w:rFonts w:eastAsia="等线" w:ascii="Arial" w:cs="Arial" w:hAnsi="Arial"/>
          <w:sz w:val="22"/>
        </w:rPr>
        <w:t>.</w:t>
      </w:r>
    </w:p>
    <w:p>
      <w:pPr>
        <w:numPr>
          <w:numId w:val="83"/>
        </w:numPr>
        <w:spacing w:before="120" w:after="120" w:line="288" w:lineRule="auto"/>
        <w:ind w:left="0"/>
        <w:jc w:val="left"/>
      </w:pPr>
      <w:r>
        <w:rPr>
          <w:rFonts w:eastAsia="等线" w:ascii="Arial" w:cs="Arial" w:hAnsi="Arial"/>
          <w:b w:val="true"/>
          <w:sz w:val="22"/>
        </w:rPr>
        <w:t>Major Issues:</w:t>
      </w:r>
      <w:r>
        <w:rPr>
          <w:rFonts w:eastAsia="等线" w:ascii="Arial" w:cs="Arial" w:hAnsi="Arial"/>
          <w:sz w:val="22"/>
        </w:rPr>
        <w:t xml:space="preserve"> Resolution or workaround provided within </w:t>
      </w:r>
      <w:r>
        <w:rPr>
          <w:rFonts w:eastAsia="等线" w:ascii="Arial" w:cs="Arial" w:hAnsi="Arial"/>
          <w:b w:val="true"/>
          <w:sz w:val="22"/>
        </w:rPr>
        <w:t>1 business day</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b w:val="true"/>
          <w:sz w:val="22"/>
        </w:rPr>
        <w:t>Minor Issues:</w:t>
      </w:r>
      <w:r>
        <w:rPr>
          <w:rFonts w:eastAsia="等线" w:ascii="Arial" w:cs="Arial" w:hAnsi="Arial"/>
          <w:sz w:val="22"/>
        </w:rPr>
        <w:t xml:space="preserve"> Resolution or workaround provided within </w:t>
      </w:r>
      <w:r>
        <w:rPr>
          <w:rFonts w:eastAsia="等线" w:ascii="Arial" w:cs="Arial" w:hAnsi="Arial"/>
          <w:b w:val="true"/>
          <w:sz w:val="22"/>
        </w:rPr>
        <w:t>3 business days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Performance Monitoring</w:t>
      </w:r>
    </w:p>
    <w:p>
      <w:pPr>
        <w:numPr>
          <w:numId w:val="85"/>
        </w:numPr>
        <w:spacing w:before="120" w:after="120" w:line="288" w:lineRule="auto"/>
        <w:ind w:left="0"/>
        <w:jc w:val="left"/>
      </w:pPr>
      <w:r>
        <w:rPr>
          <w:rFonts w:eastAsia="等线" w:ascii="Arial" w:cs="Arial" w:hAnsi="Arial"/>
          <w:sz w:val="22"/>
        </w:rPr>
        <w:t xml:space="preserve">Regular monitoring of the chatbot will be conducted to ensure optimal performance, including </w:t>
      </w:r>
      <w:r>
        <w:rPr>
          <w:rFonts w:eastAsia="等线" w:ascii="Arial" w:cs="Arial" w:hAnsi="Arial"/>
          <w:b w:val="true"/>
          <w:sz w:val="22"/>
        </w:rPr>
        <w:t>chatbot response times, query resolution speed, and message processing efficiency</w:t>
      </w:r>
      <w:r>
        <w:rPr>
          <w:rFonts w:eastAsia="等线" w:ascii="Arial" w:cs="Arial" w:hAnsi="Arial"/>
          <w:sz w:val="22"/>
        </w:rPr>
        <w:t>.</w:t>
      </w:r>
    </w:p>
    <w:p>
      <w:pPr>
        <w:numPr>
          <w:numId w:val="86"/>
        </w:numPr>
        <w:spacing w:before="120" w:after="120" w:line="288" w:lineRule="auto"/>
        <w:ind w:left="0"/>
        <w:jc w:val="left"/>
      </w:pPr>
      <w:r>
        <w:rPr>
          <w:rFonts w:eastAsia="等线" w:ascii="Arial" w:cs="Arial" w:hAnsi="Arial"/>
          <w:sz w:val="22"/>
        </w:rPr>
        <w:t xml:space="preserve">Any performance issues affecting user experience will be addressed within </w:t>
      </w:r>
      <w:r>
        <w:rPr>
          <w:rFonts w:eastAsia="等线" w:ascii="Arial" w:cs="Arial" w:hAnsi="Arial"/>
          <w:b w:val="true"/>
          <w:sz w:val="22"/>
        </w:rPr>
        <w:t>24 hours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Uptime and Maintenance</w:t>
      </w:r>
    </w:p>
    <w:p>
      <w:pPr>
        <w:numPr>
          <w:numId w:val="87"/>
        </w:numPr>
        <w:spacing w:before="120" w:after="120" w:line="288" w:lineRule="auto"/>
        <w:ind w:left="0"/>
        <w:jc w:val="left"/>
      </w:pPr>
      <w:r>
        <w:rPr>
          <w:rFonts w:eastAsia="等线" w:ascii="Arial" w:cs="Arial" w:hAnsi="Arial"/>
          <w:sz w:val="22"/>
        </w:rPr>
        <w:t xml:space="preserve">Maintenance schedules will be communicated in advance and will typically occur </w:t>
      </w:r>
      <w:r>
        <w:rPr>
          <w:rFonts w:eastAsia="等线" w:ascii="Arial" w:cs="Arial" w:hAnsi="Arial"/>
          <w:b w:val="true"/>
          <w:sz w:val="22"/>
        </w:rPr>
        <w:t>during off-peak hours</w:t>
      </w:r>
      <w:r>
        <w:rPr>
          <w:rFonts w:eastAsia="等线" w:ascii="Arial" w:cs="Arial" w:hAnsi="Arial"/>
          <w:sz w:val="22"/>
        </w:rPr>
        <w:t xml:space="preserve"> to minimize disruption.</w:t>
      </w:r>
    </w:p>
    <w:p>
      <w:pPr>
        <w:numPr>
          <w:numId w:val="88"/>
        </w:numPr>
        <w:spacing w:before="120" w:after="120" w:line="288" w:lineRule="auto"/>
        <w:ind w:left="0"/>
        <w:jc w:val="left"/>
      </w:pPr>
      <w:r>
        <w:rPr>
          <w:rFonts w:eastAsia="等线" w:ascii="Arial" w:cs="Arial" w:hAnsi="Arial"/>
          <w:sz w:val="22"/>
        </w:rPr>
        <w:t xml:space="preserve">Any </w:t>
      </w:r>
      <w:r>
        <w:rPr>
          <w:rFonts w:eastAsia="等线" w:ascii="Arial" w:cs="Arial" w:hAnsi="Arial"/>
          <w:b w:val="true"/>
          <w:sz w:val="22"/>
        </w:rPr>
        <w:t>unplanned downtime</w:t>
      </w:r>
      <w:r>
        <w:rPr>
          <w:rFonts w:eastAsia="等线" w:ascii="Arial" w:cs="Arial" w:hAnsi="Arial"/>
          <w:sz w:val="22"/>
        </w:rPr>
        <w:t xml:space="preserve">, whether for system errors or maintenance, will be communicated promptly, and a </w:t>
      </w:r>
      <w:r>
        <w:rPr>
          <w:rFonts w:eastAsia="等线" w:ascii="Arial" w:cs="Arial" w:hAnsi="Arial"/>
          <w:b w:val="true"/>
          <w:sz w:val="22"/>
        </w:rPr>
        <w:t>resolution plan will be provided</w:t>
      </w:r>
      <w:r>
        <w:rPr>
          <w:rFonts w:eastAsia="等线" w:ascii="Arial" w:cs="Arial" w:hAnsi="Arial"/>
          <w:sz w:val="22"/>
        </w:rPr>
        <w:t>.</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8.3 </w:t>
      </w:r>
      <w:r>
        <w:rPr>
          <w:rFonts w:eastAsia="等线" w:ascii="Arial" w:cs="Arial" w:hAnsi="Arial"/>
          <w:b w:val="true"/>
          <w:sz w:val="32"/>
        </w:rPr>
        <w:t>Performance Metrics and Remedies</w:t>
      </w:r>
      <w:bookmarkEnd w:id="19"/>
    </w:p>
    <w:p>
      <w:pPr>
        <w:spacing w:before="120" w:after="120" w:line="288" w:lineRule="auto"/>
        <w:ind w:left="0"/>
        <w:jc w:val="left"/>
      </w:pPr>
      <w:r>
        <w:rPr>
          <w:rFonts w:eastAsia="等线" w:ascii="Arial" w:cs="Arial" w:hAnsi="Arial"/>
          <w:sz w:val="22"/>
        </w:rPr>
        <w:t>In the event of service disruptions or failure conditions affecting system performance, Mindhive shall:</w:t>
      </w:r>
    </w:p>
    <w:p>
      <w:pPr>
        <w:numPr>
          <w:numId w:val="89"/>
        </w:numPr>
        <w:spacing w:before="120" w:after="120" w:line="288" w:lineRule="auto"/>
        <w:ind w:left="0"/>
        <w:jc w:val="left"/>
      </w:pPr>
      <w:r>
        <w:rPr>
          <w:rFonts w:eastAsia="等线" w:ascii="Arial" w:cs="Arial" w:hAnsi="Arial"/>
          <w:sz w:val="22"/>
        </w:rPr>
        <w:t>Provide a response within the timeframes specified in the SLA.</w:t>
      </w:r>
    </w:p>
    <w:p>
      <w:pPr>
        <w:numPr>
          <w:numId w:val="90"/>
        </w:numPr>
        <w:spacing w:before="120" w:after="120" w:line="288" w:lineRule="auto"/>
        <w:ind w:left="0"/>
        <w:jc w:val="left"/>
      </w:pPr>
      <w:r>
        <w:rPr>
          <w:rFonts w:eastAsia="等线" w:ascii="Arial" w:cs="Arial" w:hAnsi="Arial"/>
          <w:sz w:val="22"/>
        </w:rPr>
        <w:t>Take commercially reasonable steps to restore normal operations promptly.</w:t>
      </w:r>
    </w:p>
    <w:p>
      <w:pPr>
        <w:numPr>
          <w:numId w:val="91"/>
        </w:numPr>
        <w:spacing w:before="120" w:after="120" w:line="288" w:lineRule="auto"/>
        <w:ind w:left="0"/>
        <w:jc w:val="left"/>
      </w:pPr>
      <w:r>
        <w:rPr>
          <w:rFonts w:eastAsia="等线" w:ascii="Arial" w:cs="Arial" w:hAnsi="Arial"/>
          <w:sz w:val="22"/>
        </w:rPr>
        <w:t>Implement remedial measures as detailed in the SLA, including escalation protocols.</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8.4 </w:t>
      </w:r>
      <w:r>
        <w:rPr>
          <w:rFonts w:eastAsia="等线" w:ascii="Arial" w:cs="Arial" w:hAnsi="Arial"/>
          <w:b w:val="true"/>
          <w:sz w:val="32"/>
        </w:rPr>
        <w:t>Exclusions</w:t>
      </w:r>
      <w:bookmarkEnd w:id="20"/>
    </w:p>
    <w:p>
      <w:pPr>
        <w:spacing w:before="120" w:after="120" w:line="288" w:lineRule="auto"/>
        <w:ind w:left="0"/>
        <w:jc w:val="left"/>
      </w:pPr>
      <w:r>
        <w:rPr>
          <w:rFonts w:eastAsia="等线" w:ascii="Arial" w:cs="Arial" w:hAnsi="Arial"/>
          <w:sz w:val="22"/>
        </w:rPr>
        <w:t>The obligations under this section shall not be construed to prevent either party from invoking force majeure or other standard contractual remedies.</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9. </w:t>
      </w:r>
      <w:r>
        <w:rPr>
          <w:rFonts w:eastAsia="等线" w:ascii="Arial" w:cs="Arial" w:hAnsi="Arial"/>
          <w:b w:val="true"/>
          <w:sz w:val="30"/>
        </w:rPr>
        <w:t>Refund Policy</w:t>
      </w:r>
      <w:bookmarkEnd w:id="21"/>
    </w:p>
    <w:p>
      <w:pPr>
        <w:spacing w:before="120" w:after="120" w:line="288" w:lineRule="auto"/>
        <w:ind w:left="0"/>
        <w:jc w:val="left"/>
      </w:pPr>
      <w:r>
        <w:rPr>
          <w:rFonts w:eastAsia="等线" w:ascii="Arial" w:cs="Arial" w:hAnsi="Arial"/>
          <w:sz w:val="22"/>
        </w:rPr>
        <w:t>Mindhive is committed to delivering the project as outlined in the Scope of Work and achieving the key objectives and acceptance criteria agreed upon by both parties. In the event that Mindhive fails to fulfill the core requirements as defined in this Statement of Work—specifically:</w:t>
      </w:r>
    </w:p>
    <w:p>
      <w:pPr>
        <w:numPr>
          <w:numId w:val="92"/>
        </w:numPr>
        <w:spacing w:before="120" w:after="120" w:line="288" w:lineRule="auto"/>
        <w:ind w:left="0"/>
        <w:jc w:val="left"/>
      </w:pPr>
      <w:r>
        <w:rPr>
          <w:rFonts w:eastAsia="等线" w:ascii="Arial" w:cs="Arial" w:hAnsi="Arial"/>
          <w:sz w:val="22"/>
        </w:rPr>
        <w:t>The solution fails to perform the key deliverables stated in Section 2 (Scope of Work) and Section 3 (Acceptance Criteria),</w:t>
      </w:r>
    </w:p>
    <w:p>
      <w:pPr>
        <w:numPr>
          <w:numId w:val="93"/>
        </w:numPr>
        <w:spacing w:before="120" w:after="120" w:line="288" w:lineRule="auto"/>
        <w:ind w:left="0"/>
        <w:jc w:val="left"/>
      </w:pPr>
      <w:r>
        <w:rPr>
          <w:rFonts w:eastAsia="等线" w:ascii="Arial" w:cs="Arial" w:hAnsi="Arial"/>
          <w:sz w:val="22"/>
        </w:rPr>
        <w:t>And after remediation efforts defined under Section 8 (SLA and Maintenance) have been exhausted without resolution,</w:t>
      </w:r>
    </w:p>
    <w:p>
      <w:pPr>
        <w:spacing w:before="120" w:after="120" w:line="288" w:lineRule="auto"/>
        <w:ind w:left="0"/>
        <w:jc w:val="left"/>
      </w:pPr>
      <w:r>
        <w:rPr>
          <w:rFonts w:eastAsia="等线" w:ascii="Arial" w:cs="Arial" w:hAnsi="Arial"/>
          <w:sz w:val="22"/>
        </w:rPr>
        <w:t xml:space="preserve">Fixguru shall be entitled to a </w:t>
      </w:r>
      <w:r>
        <w:rPr>
          <w:rFonts w:eastAsia="等线" w:ascii="Arial" w:cs="Arial" w:hAnsi="Arial"/>
          <w:b w:val="true"/>
          <w:sz w:val="22"/>
        </w:rPr>
        <w:t>partial or full refund</w:t>
      </w:r>
      <w:r>
        <w:rPr>
          <w:rFonts w:eastAsia="等线" w:ascii="Arial" w:cs="Arial" w:hAnsi="Arial"/>
          <w:sz w:val="22"/>
        </w:rPr>
        <w:t>, proportionate to the specific milestone(s) or deliverables that remain incomplete or non-functional.</w:t>
      </w:r>
    </w:p>
    <w:p>
      <w:pPr>
        <w:spacing w:before="120" w:after="120" w:line="288" w:lineRule="auto"/>
        <w:ind w:left="0"/>
        <w:jc w:val="left"/>
      </w:pPr>
      <w:r>
        <w:rPr>
          <w:rFonts w:eastAsia="等线" w:ascii="Arial" w:cs="Arial" w:hAnsi="Arial"/>
          <w:sz w:val="22"/>
        </w:rPr>
        <w:t>Refunds will be processed under the following conditions:</w:t>
      </w:r>
    </w:p>
    <w:p>
      <w:pPr>
        <w:numPr>
          <w:numId w:val="94"/>
        </w:numPr>
        <w:spacing w:before="120" w:after="120" w:line="288" w:lineRule="auto"/>
        <w:ind w:left="0"/>
        <w:jc w:val="left"/>
      </w:pPr>
      <w:r>
        <w:rPr>
          <w:rFonts w:eastAsia="等线" w:ascii="Arial" w:cs="Arial" w:hAnsi="Arial"/>
          <w:b w:val="true"/>
          <w:color w:val="dc9b04"/>
          <w:sz w:val="22"/>
        </w:rPr>
        <w:t>Good Faith Resolution First:</w:t>
      </w:r>
      <w:r>
        <w:rPr>
          <w:rFonts w:eastAsia="等线" w:ascii="Arial" w:cs="Arial" w:hAnsi="Arial"/>
          <w:sz w:val="22"/>
        </w:rPr>
        <w:t xml:space="preserve"> </w:t>
      </w:r>
      <w:r>
        <w:rPr>
          <w:rFonts w:eastAsia="等线" w:ascii="Arial" w:cs="Arial" w:hAnsi="Arial"/>
          <w:color w:val="de7802"/>
          <w:sz w:val="22"/>
        </w:rPr>
        <w:t>Both parties agree to make reasonable efforts to resolve the issue collaboratively, including allowing Mindhive sufficient opportunity to troubleshoot and rectify any deficiencies within a mutually agreed timeframe.</w:t>
      </w:r>
    </w:p>
    <w:p>
      <w:pPr>
        <w:numPr>
          <w:numId w:val="95"/>
        </w:numPr>
        <w:spacing w:before="120" w:after="120" w:line="288" w:lineRule="auto"/>
        <w:ind w:left="0"/>
        <w:jc w:val="left"/>
      </w:pPr>
      <w:r>
        <w:rPr>
          <w:rFonts w:eastAsia="等线" w:ascii="Arial" w:cs="Arial" w:hAnsi="Arial"/>
          <w:b w:val="true"/>
          <w:sz w:val="22"/>
        </w:rPr>
        <w:t>Written Notice</w:t>
      </w:r>
      <w:r>
        <w:rPr>
          <w:rFonts w:eastAsia="等线" w:ascii="Arial" w:cs="Arial" w:hAnsi="Arial"/>
          <w:sz w:val="22"/>
        </w:rPr>
        <w:t>: Fixguru must submit a written request for refund within 14 business days of identifying the unresolved issue, clearly stating the nature of the failure and referencing the affected deliverables or criteria.</w:t>
      </w:r>
    </w:p>
    <w:p>
      <w:pPr>
        <w:numPr>
          <w:numId w:val="96"/>
        </w:numPr>
        <w:spacing w:before="120" w:after="120" w:line="288" w:lineRule="auto"/>
        <w:ind w:left="0"/>
        <w:jc w:val="left"/>
      </w:pPr>
      <w:r>
        <w:rPr>
          <w:rFonts w:eastAsia="等线" w:ascii="Arial" w:cs="Arial" w:hAnsi="Arial"/>
          <w:b w:val="true"/>
          <w:sz w:val="22"/>
        </w:rPr>
        <w:t>Assessment &amp; Refund Scope</w:t>
      </w:r>
      <w:r>
        <w:rPr>
          <w:rFonts w:eastAsia="等线" w:ascii="Arial" w:cs="Arial" w:hAnsi="Arial"/>
          <w:sz w:val="22"/>
        </w:rPr>
        <w:t>:</w:t>
      </w:r>
    </w:p>
    <w:p>
      <w:pPr>
        <w:numPr>
          <w:numId w:val="97"/>
        </w:numPr>
        <w:spacing w:before="120" w:after="120" w:line="288" w:lineRule="auto"/>
        <w:ind w:left="453"/>
        <w:jc w:val="left"/>
      </w:pPr>
      <w:r>
        <w:rPr>
          <w:rFonts w:eastAsia="等线" w:ascii="Arial" w:cs="Arial" w:hAnsi="Arial"/>
          <w:color w:val="dc9b04"/>
          <w:sz w:val="22"/>
        </w:rPr>
        <w:t>Deposit of RM24,000 to proceed with the project.</w:t>
      </w:r>
    </w:p>
    <w:p>
      <w:pPr>
        <w:numPr>
          <w:numId w:val="98"/>
        </w:numPr>
        <w:spacing w:before="120" w:after="120" w:line="288" w:lineRule="auto"/>
        <w:ind w:left="453"/>
        <w:jc w:val="left"/>
      </w:pPr>
      <w:r>
        <w:rPr>
          <w:rFonts w:eastAsia="等线" w:ascii="Arial" w:cs="Arial" w:hAnsi="Arial"/>
          <w:color w:val="dc9b04"/>
          <w:sz w:val="22"/>
        </w:rPr>
        <w:t>A full 100% refund if failure to go live post UAT phase.</w:t>
      </w:r>
    </w:p>
    <w:p>
      <w:pPr>
        <w:numPr>
          <w:numId w:val="99"/>
        </w:numPr>
        <w:spacing w:before="120" w:after="120" w:line="288" w:lineRule="auto"/>
        <w:ind w:left="0"/>
        <w:jc w:val="left"/>
      </w:pPr>
      <w:r>
        <w:rPr>
          <w:rFonts w:eastAsia="等线" w:ascii="Arial" w:cs="Arial" w:hAnsi="Arial"/>
          <w:b w:val="true"/>
          <w:sz w:val="22"/>
        </w:rPr>
        <w:t>Exclusions</w:t>
      </w:r>
      <w:r>
        <w:rPr>
          <w:rFonts w:eastAsia="等线" w:ascii="Arial" w:cs="Arial" w:hAnsi="Arial"/>
          <w:sz w:val="22"/>
        </w:rPr>
        <w:t>: No refund shall be issued for delays or failures resulting from:</w:t>
      </w:r>
    </w:p>
    <w:p>
      <w:pPr>
        <w:numPr>
          <w:numId w:val="100"/>
        </w:numPr>
        <w:spacing w:before="120" w:after="120" w:line="288" w:lineRule="auto"/>
        <w:ind w:left="453"/>
        <w:jc w:val="left"/>
      </w:pPr>
      <w:r>
        <w:rPr>
          <w:rFonts w:eastAsia="等线" w:ascii="Arial" w:cs="Arial" w:hAnsi="Arial"/>
          <w:color w:val="dc9b04"/>
          <w:sz w:val="22"/>
        </w:rPr>
        <w:t>Fixguru’s failure to provide timely access, feedback, or required information within reasonable timeline (mutually agreed)</w:t>
      </w:r>
    </w:p>
    <w:p>
      <w:pPr>
        <w:numPr>
          <w:numId w:val="101"/>
        </w:numPr>
        <w:spacing w:before="120" w:after="120" w:line="288" w:lineRule="auto"/>
        <w:ind w:left="453"/>
        <w:jc w:val="left"/>
      </w:pPr>
      <w:r>
        <w:rPr>
          <w:rFonts w:eastAsia="等线" w:ascii="Arial" w:cs="Arial" w:hAnsi="Arial"/>
          <w:sz w:val="22"/>
        </w:rPr>
        <w:t>Changes to scope initiated by Fixguru after project commencement;</w:t>
      </w:r>
    </w:p>
    <w:p>
      <w:pPr>
        <w:numPr>
          <w:numId w:val="102"/>
        </w:numPr>
        <w:spacing w:before="120" w:after="120" w:line="288" w:lineRule="auto"/>
        <w:ind w:left="453"/>
        <w:jc w:val="left"/>
      </w:pPr>
      <w:r>
        <w:rPr>
          <w:rFonts w:eastAsia="等线" w:ascii="Arial" w:cs="Arial" w:hAnsi="Arial"/>
          <w:sz w:val="22"/>
        </w:rPr>
        <w:t>Force majeure or third-party system failures beyond Mindhive’s control.</w:t>
      </w:r>
    </w:p>
    <w:p>
      <w:pPr>
        <w:spacing w:before="120" w:after="120" w:line="288" w:lineRule="auto"/>
        <w:ind w:left="0"/>
        <w:jc w:val="left"/>
      </w:pPr>
      <w:r>
        <w:rPr>
          <w:rFonts w:eastAsia="等线" w:ascii="Arial" w:cs="Arial" w:hAnsi="Arial"/>
          <w:sz w:val="22"/>
        </w:rPr>
        <w:t xml:space="preserve">All refund claims shall be reviewed in good faith, and Mindhive shall endeavor to process any agreed refunds within </w:t>
      </w:r>
      <w:r>
        <w:rPr>
          <w:rFonts w:eastAsia="等线" w:ascii="Arial" w:cs="Arial" w:hAnsi="Arial"/>
          <w:b w:val="true"/>
          <w:sz w:val="22"/>
        </w:rPr>
        <w:t>30 days of confirmation</w:t>
      </w:r>
      <w:r>
        <w:rPr>
          <w:rFonts w:eastAsia="等线" w:ascii="Arial" w:cs="Arial" w:hAnsi="Arial"/>
          <w:sz w:val="22"/>
        </w:rPr>
        <w:t>.</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2" w:id="22"/>
      <w:r>
        <w:rPr>
          <w:rFonts w:eastAsia="等线" w:ascii="Arial" w:cs="Arial" w:hAnsi="Arial"/>
          <w:b w:val="true"/>
          <w:sz w:val="36"/>
        </w:rPr>
        <w:t>Sign</w:t>
      </w:r>
      <w:bookmarkEnd w:id="22"/>
    </w:p>
    <w:p>
      <w:pPr>
        <w:spacing w:before="120" w:after="120" w:line="288" w:lineRule="auto"/>
        <w:ind w:left="0"/>
        <w:jc w:val="left"/>
      </w:pPr>
      <w:r>
        <w:rPr>
          <w:rFonts w:eastAsia="等线" w:ascii="Arial" w:cs="Arial" w:hAnsi="Arial"/>
          <w:sz w:val="22"/>
        </w:rPr>
        <w:t>IN WITNESS WHEREOF, the Parties have executed this Agreement as of the date first</w:t>
      </w:r>
    </w:p>
    <w:p>
      <w:pPr>
        <w:spacing w:before="120" w:after="120" w:line="288" w:lineRule="auto"/>
        <w:ind w:left="0"/>
        <w:jc w:val="left"/>
      </w:pPr>
      <w:r>
        <w:rPr>
          <w:rFonts w:eastAsia="等线" w:ascii="Arial" w:cs="Arial" w:hAnsi="Arial"/>
          <w:sz w:val="22"/>
        </w:rPr>
        <w:t>above written.</w:t>
      </w:r>
    </w:p>
    <w:p>
      <w:pPr>
        <w:spacing w:before="120" w:after="120" w:line="288" w:lineRule="auto"/>
        <w:ind w:left="0"/>
        <w:jc w:val="left"/>
      </w:pPr>
      <w:r>
        <w:rPr>
          <w:rFonts w:eastAsia="等线" w:ascii="Arial" w:cs="Arial" w:hAnsi="Arial"/>
          <w:sz w:val="22"/>
        </w:rPr>
        <w:br/>
      </w:r>
      <w:r>
        <w:rPr>
          <w:rFonts w:eastAsia="等线" w:ascii="Arial" w:cs="Arial" w:hAnsi="Arial"/>
          <w:sz w:val="22"/>
        </w:rPr>
        <w:t>For Fixguru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For Mindhive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Johnson Goh</w:t>
            </w:r>
          </w:p>
          <w:p>
            <w:pPr>
              <w:spacing w:before="120" w:after="120" w:line="288" w:lineRule="auto"/>
              <w:ind w:left="0"/>
              <w:jc w:val="left"/>
            </w:pPr>
            <w:r>
              <w:rPr>
                <w:rFonts w:eastAsia="等线" w:ascii="Arial" w:cs="Arial" w:hAnsi="Arial"/>
                <w:sz w:val="22"/>
              </w:rPr>
              <w:t>Position: CEO of Mindhive</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2073">
    <w:lvl>
      <w:numFmt w:val="bullet"/>
      <w:suff w:val="tab"/>
      <w:lvlText w:val="•"/>
      <w:rPr>
        <w:color w:val="3370ff"/>
      </w:rPr>
    </w:lvl>
  </w:abstractNum>
  <w:abstractNum w:abstractNumId="242074">
    <w:lvl>
      <w:numFmt w:val="bullet"/>
      <w:suff w:val="tab"/>
      <w:lvlText w:val="•"/>
      <w:rPr>
        <w:color w:val="3370ff"/>
      </w:rPr>
    </w:lvl>
  </w:abstractNum>
  <w:abstractNum w:abstractNumId="242075">
    <w:lvl>
      <w:numFmt w:val="bullet"/>
      <w:suff w:val="tab"/>
      <w:lvlText w:val="•"/>
      <w:rPr>
        <w:color w:val="3370ff"/>
      </w:rPr>
    </w:lvl>
  </w:abstractNum>
  <w:abstractNum w:abstractNumId="242076">
    <w:lvl>
      <w:numFmt w:val="bullet"/>
      <w:suff w:val="tab"/>
      <w:lvlText w:val="•"/>
      <w:rPr>
        <w:color w:val="3370ff"/>
      </w:rPr>
    </w:lvl>
  </w:abstractNum>
  <w:abstractNum w:abstractNumId="242077">
    <w:lvl>
      <w:numFmt w:val="bullet"/>
      <w:suff w:val="tab"/>
      <w:lvlText w:val="￮"/>
      <w:rPr>
        <w:color w:val="3370ff"/>
      </w:rPr>
    </w:lvl>
  </w:abstractNum>
  <w:abstractNum w:abstractNumId="242078">
    <w:lvl>
      <w:numFmt w:val="bullet"/>
      <w:suff w:val="tab"/>
      <w:lvlText w:val="•"/>
      <w:rPr>
        <w:color w:val="3370ff"/>
      </w:rPr>
    </w:lvl>
  </w:abstractNum>
  <w:abstractNum w:abstractNumId="242079">
    <w:lvl>
      <w:numFmt w:val="bullet"/>
      <w:suff w:val="tab"/>
      <w:lvlText w:val="•"/>
      <w:rPr>
        <w:color w:val="3370ff"/>
      </w:rPr>
    </w:lvl>
  </w:abstractNum>
  <w:abstractNum w:abstractNumId="242080">
    <w:lvl>
      <w:numFmt w:val="bullet"/>
      <w:suff w:val="tab"/>
      <w:lvlText w:val="•"/>
      <w:rPr>
        <w:color w:val="3370ff"/>
      </w:rPr>
    </w:lvl>
  </w:abstractNum>
  <w:abstractNum w:abstractNumId="242081">
    <w:lvl>
      <w:numFmt w:val="bullet"/>
      <w:suff w:val="tab"/>
      <w:lvlText w:val="•"/>
      <w:rPr>
        <w:color w:val="3370ff"/>
      </w:rPr>
    </w:lvl>
  </w:abstractNum>
  <w:abstractNum w:abstractNumId="242082">
    <w:lvl>
      <w:numFmt w:val="bullet"/>
      <w:suff w:val="tab"/>
      <w:lvlText w:val="•"/>
      <w:rPr>
        <w:color w:val="3370ff"/>
      </w:rPr>
    </w:lvl>
  </w:abstractNum>
  <w:abstractNum w:abstractNumId="242083">
    <w:lvl>
      <w:numFmt w:val="bullet"/>
      <w:suff w:val="tab"/>
      <w:lvlText w:val="￮"/>
      <w:rPr>
        <w:color w:val="3370ff"/>
      </w:rPr>
    </w:lvl>
  </w:abstractNum>
  <w:abstractNum w:abstractNumId="242084">
    <w:lvl>
      <w:start w:val="1"/>
      <w:numFmt w:val="decimal"/>
      <w:suff w:val="tab"/>
      <w:lvlText w:val="%1."/>
      <w:rPr>
        <w:color w:val="3370ff"/>
      </w:rPr>
    </w:lvl>
  </w:abstractNum>
  <w:abstractNum w:abstractNumId="242085">
    <w:lvl>
      <w:numFmt w:val="bullet"/>
      <w:suff w:val="tab"/>
      <w:lvlText w:val="￮"/>
      <w:rPr>
        <w:color w:val="3370ff"/>
      </w:rPr>
    </w:lvl>
  </w:abstractNum>
  <w:abstractNum w:abstractNumId="242086">
    <w:lvl>
      <w:start w:val="2"/>
      <w:numFmt w:val="decimal"/>
      <w:suff w:val="tab"/>
      <w:lvlText w:val="%1."/>
      <w:rPr>
        <w:color w:val="3370ff"/>
      </w:rPr>
    </w:lvl>
  </w:abstractNum>
  <w:abstractNum w:abstractNumId="242087">
    <w:lvl>
      <w:numFmt w:val="bullet"/>
      <w:suff w:val="tab"/>
      <w:lvlText w:val="￮"/>
      <w:rPr>
        <w:color w:val="3370ff"/>
      </w:rPr>
    </w:lvl>
  </w:abstractNum>
  <w:abstractNum w:abstractNumId="242088">
    <w:lvl>
      <w:numFmt w:val="bullet"/>
      <w:suff w:val="tab"/>
      <w:lvlText w:val="▪"/>
      <w:rPr>
        <w:color w:val="3370ff"/>
        <w:sz w:val="11"/>
      </w:rPr>
    </w:lvl>
  </w:abstractNum>
  <w:abstractNum w:abstractNumId="242089">
    <w:lvl>
      <w:numFmt w:val="bullet"/>
      <w:suff w:val="tab"/>
      <w:lvlText w:val="▪"/>
      <w:rPr>
        <w:color w:val="3370ff"/>
        <w:sz w:val="11"/>
      </w:rPr>
    </w:lvl>
  </w:abstractNum>
  <w:abstractNum w:abstractNumId="242090">
    <w:lvl>
      <w:numFmt w:val="bullet"/>
      <w:suff w:val="tab"/>
      <w:lvlText w:val="▪"/>
      <w:rPr>
        <w:color w:val="3370ff"/>
        <w:sz w:val="11"/>
      </w:rPr>
    </w:lvl>
  </w:abstractNum>
  <w:abstractNum w:abstractNumId="242091">
    <w:lvl>
      <w:start w:val="3"/>
      <w:numFmt w:val="decimal"/>
      <w:suff w:val="tab"/>
      <w:lvlText w:val="%1."/>
      <w:rPr>
        <w:color w:val="3370ff"/>
      </w:rPr>
    </w:lvl>
  </w:abstractNum>
  <w:abstractNum w:abstractNumId="242092">
    <w:lvl>
      <w:numFmt w:val="bullet"/>
      <w:suff w:val="tab"/>
      <w:lvlText w:val="￮"/>
      <w:rPr>
        <w:color w:val="3370ff"/>
      </w:rPr>
    </w:lvl>
  </w:abstractNum>
  <w:abstractNum w:abstractNumId="242093">
    <w:lvl>
      <w:start w:val="4"/>
      <w:numFmt w:val="decimal"/>
      <w:suff w:val="tab"/>
      <w:lvlText w:val="%1."/>
      <w:rPr>
        <w:color w:val="3370ff"/>
      </w:rPr>
    </w:lvl>
  </w:abstractNum>
  <w:abstractNum w:abstractNumId="242094">
    <w:lvl>
      <w:start w:val="5"/>
      <w:numFmt w:val="decimal"/>
      <w:suff w:val="tab"/>
      <w:lvlText w:val="%1."/>
      <w:rPr>
        <w:color w:val="3370ff"/>
      </w:rPr>
    </w:lvl>
  </w:abstractNum>
  <w:abstractNum w:abstractNumId="242095">
    <w:lvl>
      <w:start w:val="1"/>
      <w:numFmt w:val="lowerLetter"/>
      <w:suff w:val="tab"/>
      <w:lvlText w:val="%1."/>
      <w:rPr>
        <w:color w:val="3370ff"/>
      </w:rPr>
    </w:lvl>
  </w:abstractNum>
  <w:abstractNum w:abstractNumId="242096">
    <w:lvl>
      <w:start w:val="6"/>
      <w:numFmt w:val="decimal"/>
      <w:suff w:val="tab"/>
      <w:lvlText w:val="%1."/>
      <w:rPr>
        <w:color w:val="3370ff"/>
      </w:rPr>
    </w:lvl>
  </w:abstractNum>
  <w:abstractNum w:abstractNumId="242097">
    <w:lvl>
      <w:start w:val="7"/>
      <w:numFmt w:val="decimal"/>
      <w:suff w:val="tab"/>
      <w:lvlText w:val="%1."/>
      <w:rPr>
        <w:color w:val="3370ff"/>
      </w:rPr>
    </w:lvl>
  </w:abstractNum>
  <w:abstractNum w:abstractNumId="242098">
    <w:lvl>
      <w:start w:val="1"/>
      <w:numFmt w:val="lowerLetter"/>
      <w:suff w:val="tab"/>
      <w:lvlText w:val="%1."/>
      <w:rPr>
        <w:color w:val="3370ff"/>
      </w:rPr>
    </w:lvl>
  </w:abstractNum>
  <w:abstractNum w:abstractNumId="242099">
    <w:lvl>
      <w:start w:val="1"/>
      <w:numFmt w:val="lowerRoman"/>
      <w:suff w:val="tab"/>
      <w:lvlText w:val="%1."/>
      <w:rPr>
        <w:color w:val="3370ff"/>
      </w:rPr>
    </w:lvl>
  </w:abstractNum>
  <w:abstractNum w:abstractNumId="242100">
    <w:lvl>
      <w:numFmt w:val="bullet"/>
      <w:suff w:val="tab"/>
      <w:lvlText w:val="•"/>
      <w:rPr>
        <w:color w:val="3370ff"/>
      </w:rPr>
    </w:lvl>
  </w:abstractNum>
  <w:abstractNum w:abstractNumId="242101">
    <w:lvl>
      <w:numFmt w:val="bullet"/>
      <w:suff w:val="tab"/>
      <w:lvlText w:val="￮"/>
      <w:rPr>
        <w:color w:val="3370ff"/>
      </w:rPr>
    </w:lvl>
  </w:abstractNum>
  <w:abstractNum w:abstractNumId="242102">
    <w:lvl>
      <w:numFmt w:val="bullet"/>
      <w:suff w:val="tab"/>
      <w:lvlText w:val="•"/>
      <w:rPr>
        <w:color w:val="3370ff"/>
      </w:rPr>
    </w:lvl>
  </w:abstractNum>
  <w:abstractNum w:abstractNumId="242103">
    <w:lvl>
      <w:numFmt w:val="bullet"/>
      <w:suff w:val="tab"/>
      <w:lvlText w:val="•"/>
      <w:rPr>
        <w:color w:val="3370ff"/>
      </w:rPr>
    </w:lvl>
  </w:abstractNum>
  <w:abstractNum w:abstractNumId="242104">
    <w:lvl>
      <w:numFmt w:val="bullet"/>
      <w:suff w:val="tab"/>
      <w:lvlText w:val="￮"/>
      <w:rPr>
        <w:color w:val="3370ff"/>
      </w:rPr>
    </w:lvl>
  </w:abstractNum>
  <w:abstractNum w:abstractNumId="242105">
    <w:lvl>
      <w:numFmt w:val="bullet"/>
      <w:suff w:val="tab"/>
      <w:lvlText w:val="•"/>
      <w:rPr>
        <w:color w:val="3370ff"/>
      </w:rPr>
    </w:lvl>
  </w:abstractNum>
  <w:abstractNum w:abstractNumId="242106">
    <w:lvl>
      <w:numFmt w:val="bullet"/>
      <w:suff w:val="tab"/>
      <w:lvlText w:val="•"/>
      <w:rPr>
        <w:color w:val="3370ff"/>
      </w:rPr>
    </w:lvl>
  </w:abstractNum>
  <w:abstractNum w:abstractNumId="242107">
    <w:lvl>
      <w:numFmt w:val="bullet"/>
      <w:suff w:val="tab"/>
      <w:lvlText w:val="￮"/>
      <w:rPr>
        <w:color w:val="3370ff"/>
      </w:rPr>
    </w:lvl>
  </w:abstractNum>
  <w:abstractNum w:abstractNumId="242108">
    <w:lvl>
      <w:numFmt w:val="bullet"/>
      <w:suff w:val="tab"/>
      <w:lvlText w:val="•"/>
      <w:rPr>
        <w:color w:val="3370ff"/>
      </w:rPr>
    </w:lvl>
  </w:abstractNum>
  <w:abstractNum w:abstractNumId="242109">
    <w:lvl>
      <w:numFmt w:val="bullet"/>
      <w:suff w:val="tab"/>
      <w:lvlText w:val="￮"/>
      <w:rPr>
        <w:color w:val="3370ff"/>
      </w:rPr>
    </w:lvl>
  </w:abstractNum>
  <w:abstractNum w:abstractNumId="242110">
    <w:lvl>
      <w:numFmt w:val="bullet"/>
      <w:suff w:val="tab"/>
      <w:lvlText w:val="▪"/>
      <w:rPr>
        <w:color w:val="3370ff"/>
        <w:sz w:val="11"/>
      </w:rPr>
    </w:lvl>
  </w:abstractNum>
  <w:abstractNum w:abstractNumId="242111">
    <w:lvl>
      <w:numFmt w:val="bullet"/>
      <w:suff w:val="tab"/>
      <w:lvlText w:val="￮"/>
      <w:rPr>
        <w:color w:val="3370ff"/>
      </w:rPr>
    </w:lvl>
  </w:abstractNum>
  <w:abstractNum w:abstractNumId="242112">
    <w:lvl>
      <w:numFmt w:val="bullet"/>
      <w:suff w:val="tab"/>
      <w:lvlText w:val="￮"/>
      <w:rPr>
        <w:color w:val="3370ff"/>
      </w:rPr>
    </w:lvl>
  </w:abstractNum>
  <w:abstractNum w:abstractNumId="242113">
    <w:lvl>
      <w:numFmt w:val="bullet"/>
      <w:suff w:val="tab"/>
      <w:lvlText w:val="•"/>
      <w:rPr>
        <w:color w:val="3370ff"/>
      </w:rPr>
    </w:lvl>
  </w:abstractNum>
  <w:abstractNum w:abstractNumId="242114">
    <w:lvl>
      <w:numFmt w:val="bullet"/>
      <w:suff w:val="tab"/>
      <w:lvlText w:val="￮"/>
      <w:rPr>
        <w:color w:val="3370ff"/>
      </w:rPr>
    </w:lvl>
  </w:abstractNum>
  <w:abstractNum w:abstractNumId="242115">
    <w:lvl>
      <w:numFmt w:val="bullet"/>
      <w:suff w:val="tab"/>
      <w:lvlText w:val="￮"/>
      <w:rPr>
        <w:color w:val="3370ff"/>
      </w:rPr>
    </w:lvl>
  </w:abstractNum>
  <w:abstractNum w:abstractNumId="242116">
    <w:lvl>
      <w:numFmt w:val="bullet"/>
      <w:suff w:val="tab"/>
      <w:lvlText w:val="￮"/>
      <w:rPr>
        <w:color w:val="3370ff"/>
      </w:rPr>
    </w:lvl>
  </w:abstractNum>
  <w:abstractNum w:abstractNumId="242117">
    <w:lvl>
      <w:numFmt w:val="bullet"/>
      <w:suff w:val="tab"/>
      <w:lvlText w:val="￮"/>
      <w:rPr>
        <w:color w:val="3370ff"/>
      </w:rPr>
    </w:lvl>
  </w:abstractNum>
  <w:abstractNum w:abstractNumId="242118">
    <w:lvl>
      <w:numFmt w:val="bullet"/>
      <w:suff w:val="tab"/>
      <w:lvlText w:val="￮"/>
      <w:rPr>
        <w:color w:val="3370ff"/>
      </w:rPr>
    </w:lvl>
  </w:abstractNum>
  <w:abstractNum w:abstractNumId="242119">
    <w:lvl>
      <w:numFmt w:val="bullet"/>
      <w:suff w:val="tab"/>
      <w:lvlText w:val="￮"/>
      <w:rPr>
        <w:color w:val="3370ff"/>
      </w:rPr>
    </w:lvl>
  </w:abstractNum>
  <w:abstractNum w:abstractNumId="242120">
    <w:lvl>
      <w:numFmt w:val="bullet"/>
      <w:suff w:val="tab"/>
      <w:lvlText w:val="▪"/>
      <w:rPr>
        <w:color w:val="3370ff"/>
        <w:sz w:val="11"/>
      </w:rPr>
    </w:lvl>
  </w:abstractNum>
  <w:abstractNum w:abstractNumId="242121">
    <w:lvl>
      <w:numFmt w:val="bullet"/>
      <w:suff w:val="tab"/>
      <w:lvlText w:val="▪"/>
      <w:rPr>
        <w:color w:val="3370ff"/>
        <w:sz w:val="11"/>
      </w:rPr>
    </w:lvl>
  </w:abstractNum>
  <w:abstractNum w:abstractNumId="242122">
    <w:lvl>
      <w:numFmt w:val="bullet"/>
      <w:suff w:val="tab"/>
      <w:lvlText w:val="￮"/>
      <w:rPr>
        <w:color w:val="3370ff"/>
      </w:rPr>
    </w:lvl>
  </w:abstractNum>
  <w:abstractNum w:abstractNumId="242123">
    <w:lvl>
      <w:numFmt w:val="bullet"/>
      <w:suff w:val="tab"/>
      <w:lvlText w:val="￮"/>
      <w:rPr>
        <w:color w:val="3370ff"/>
      </w:rPr>
    </w:lvl>
  </w:abstractNum>
  <w:abstractNum w:abstractNumId="242124">
    <w:lvl>
      <w:numFmt w:val="bullet"/>
      <w:suff w:val="tab"/>
      <w:lvlText w:val="•"/>
      <w:rPr>
        <w:color w:val="3370ff"/>
      </w:rPr>
    </w:lvl>
  </w:abstractNum>
  <w:abstractNum w:abstractNumId="242125">
    <w:lvl>
      <w:numFmt w:val="bullet"/>
      <w:suff w:val="tab"/>
      <w:lvlText w:val="•"/>
      <w:rPr>
        <w:color w:val="3370ff"/>
      </w:rPr>
    </w:lvl>
  </w:abstractNum>
  <w:abstractNum w:abstractNumId="242126">
    <w:lvl>
      <w:numFmt w:val="bullet"/>
      <w:suff w:val="tab"/>
      <w:lvlText w:val="•"/>
      <w:rPr>
        <w:color w:val="3370ff"/>
      </w:rPr>
    </w:lvl>
  </w:abstractNum>
  <w:abstractNum w:abstractNumId="242127">
    <w:lvl>
      <w:numFmt w:val="bullet"/>
      <w:suff w:val="tab"/>
      <w:lvlText w:val="•"/>
      <w:rPr>
        <w:color w:val="3370ff"/>
      </w:rPr>
    </w:lvl>
  </w:abstractNum>
  <w:abstractNum w:abstractNumId="242128">
    <w:lvl>
      <w:numFmt w:val="bullet"/>
      <w:suff w:val="tab"/>
      <w:lvlText w:val="•"/>
      <w:rPr>
        <w:color w:val="3370ff"/>
      </w:rPr>
    </w:lvl>
  </w:abstractNum>
  <w:abstractNum w:abstractNumId="242129">
    <w:lvl>
      <w:numFmt w:val="bullet"/>
      <w:suff w:val="tab"/>
      <w:lvlText w:val="•"/>
      <w:rPr>
        <w:color w:val="3370ff"/>
      </w:rPr>
    </w:lvl>
  </w:abstractNum>
  <w:abstractNum w:abstractNumId="242130">
    <w:lvl>
      <w:numFmt w:val="bullet"/>
      <w:suff w:val="tab"/>
      <w:lvlText w:val="•"/>
      <w:rPr>
        <w:color w:val="3370ff"/>
      </w:rPr>
    </w:lvl>
  </w:abstractNum>
  <w:abstractNum w:abstractNumId="242131">
    <w:lvl>
      <w:numFmt w:val="bullet"/>
      <w:suff w:val="tab"/>
      <w:lvlText w:val="•"/>
      <w:rPr>
        <w:color w:val="3370ff"/>
      </w:rPr>
    </w:lvl>
  </w:abstractNum>
  <w:abstractNum w:abstractNumId="242132">
    <w:lvl>
      <w:numFmt w:val="bullet"/>
      <w:suff w:val="tab"/>
      <w:lvlText w:val="•"/>
      <w:rPr>
        <w:color w:val="3370ff"/>
      </w:rPr>
    </w:lvl>
  </w:abstractNum>
  <w:abstractNum w:abstractNumId="242133">
    <w:lvl>
      <w:numFmt w:val="bullet"/>
      <w:suff w:val="tab"/>
      <w:lvlText w:val="•"/>
      <w:rPr>
        <w:color w:val="3370ff"/>
      </w:rPr>
    </w:lvl>
  </w:abstractNum>
  <w:abstractNum w:abstractNumId="242134">
    <w:lvl>
      <w:numFmt w:val="bullet"/>
      <w:suff w:val="tab"/>
      <w:lvlText w:val="•"/>
      <w:rPr>
        <w:color w:val="3370ff"/>
      </w:rPr>
    </w:lvl>
  </w:abstractNum>
  <w:abstractNum w:abstractNumId="242135">
    <w:lvl>
      <w:numFmt w:val="bullet"/>
      <w:suff w:val="tab"/>
      <w:lvlText w:val="•"/>
      <w:rPr>
        <w:color w:val="3370ff"/>
      </w:rPr>
    </w:lvl>
  </w:abstractNum>
  <w:abstractNum w:abstractNumId="242136">
    <w:lvl>
      <w:numFmt w:val="bullet"/>
      <w:suff w:val="tab"/>
      <w:lvlText w:val="•"/>
      <w:rPr>
        <w:color w:val="3370ff"/>
      </w:rPr>
    </w:lvl>
  </w:abstractNum>
  <w:abstractNum w:abstractNumId="242137">
    <w:lvl>
      <w:numFmt w:val="bullet"/>
      <w:suff w:val="tab"/>
      <w:lvlText w:val="•"/>
      <w:rPr>
        <w:color w:val="3370ff"/>
      </w:rPr>
    </w:lvl>
  </w:abstractNum>
  <w:abstractNum w:abstractNumId="242138">
    <w:lvl>
      <w:numFmt w:val="bullet"/>
      <w:suff w:val="tab"/>
      <w:lvlText w:val="•"/>
      <w:rPr>
        <w:color w:val="3370ff"/>
      </w:rPr>
    </w:lvl>
  </w:abstractNum>
  <w:abstractNum w:abstractNumId="242139">
    <w:lvl>
      <w:start w:val="1"/>
      <w:numFmt w:val="decimal"/>
      <w:suff w:val="tab"/>
      <w:lvlText w:val="%1."/>
      <w:rPr>
        <w:color w:val="3370ff"/>
      </w:rPr>
    </w:lvl>
  </w:abstractNum>
  <w:abstractNum w:abstractNumId="242140">
    <w:lvl>
      <w:start w:val="2"/>
      <w:numFmt w:val="decimal"/>
      <w:suff w:val="tab"/>
      <w:lvlText w:val="%1."/>
      <w:rPr>
        <w:color w:val="3370ff"/>
      </w:rPr>
    </w:lvl>
  </w:abstractNum>
  <w:abstractNum w:abstractNumId="242141">
    <w:lvl>
      <w:start w:val="1"/>
      <w:numFmt w:val="lowerLetter"/>
      <w:suff w:val="tab"/>
      <w:lvlText w:val="%1."/>
      <w:rPr>
        <w:color w:val="3370ff"/>
      </w:rPr>
    </w:lvl>
  </w:abstractNum>
  <w:abstractNum w:abstractNumId="242142">
    <w:lvl>
      <w:start w:val="2"/>
      <w:numFmt w:val="lowerLetter"/>
      <w:suff w:val="tab"/>
      <w:lvlText w:val="%1."/>
      <w:rPr>
        <w:color w:val="3370ff"/>
      </w:rPr>
    </w:lvl>
  </w:abstractNum>
  <w:abstractNum w:abstractNumId="242143">
    <w:lvl>
      <w:start w:val="3"/>
      <w:numFmt w:val="lowerLetter"/>
      <w:suff w:val="tab"/>
      <w:lvlText w:val="%1."/>
      <w:rPr>
        <w:color w:val="3370ff"/>
      </w:rPr>
    </w:lvl>
  </w:abstractNum>
  <w:abstractNum w:abstractNumId="242144">
    <w:lvl>
      <w:start w:val="4"/>
      <w:numFmt w:val="lowerLetter"/>
      <w:suff w:val="tab"/>
      <w:lvlText w:val="%1."/>
      <w:rPr>
        <w:color w:val="3370ff"/>
      </w:rPr>
    </w:lvl>
  </w:abstractNum>
  <w:abstractNum w:abstractNumId="242145">
    <w:lvl>
      <w:start w:val="3"/>
      <w:numFmt w:val="decimal"/>
      <w:suff w:val="tab"/>
      <w:lvlText w:val="%1."/>
      <w:rPr>
        <w:color w:val="3370ff"/>
      </w:rPr>
    </w:lvl>
  </w:abstractNum>
  <w:abstractNum w:abstractNumId="242146">
    <w:lvl>
      <w:start w:val="4"/>
      <w:numFmt w:val="decimal"/>
      <w:suff w:val="tab"/>
      <w:lvlText w:val="%1."/>
      <w:rPr>
        <w:color w:val="3370ff"/>
      </w:rPr>
    </w:lvl>
  </w:abstractNum>
  <w:abstractNum w:abstractNumId="242147">
    <w:lvl>
      <w:start w:val="1"/>
      <w:numFmt w:val="decimal"/>
      <w:suff w:val="tab"/>
      <w:lvlText w:val="%1."/>
      <w:rPr>
        <w:color w:val="3370ff"/>
      </w:rPr>
    </w:lvl>
  </w:abstractNum>
  <w:abstractNum w:abstractNumId="242148">
    <w:lvl>
      <w:start w:val="2"/>
      <w:numFmt w:val="decimal"/>
      <w:suff w:val="tab"/>
      <w:lvlText w:val="%1."/>
      <w:rPr>
        <w:color w:val="3370ff"/>
      </w:rPr>
    </w:lvl>
  </w:abstractNum>
  <w:abstractNum w:abstractNumId="242149">
    <w:lvl>
      <w:numFmt w:val="bullet"/>
      <w:suff w:val="tab"/>
      <w:lvlText w:val="•"/>
      <w:rPr>
        <w:color w:val="3370ff"/>
      </w:rPr>
    </w:lvl>
  </w:abstractNum>
  <w:abstractNum w:abstractNumId="242150">
    <w:lvl>
      <w:numFmt w:val="bullet"/>
      <w:suff w:val="tab"/>
      <w:lvlText w:val="•"/>
      <w:rPr>
        <w:color w:val="3370ff"/>
      </w:rPr>
    </w:lvl>
  </w:abstractNum>
  <w:abstractNum w:abstractNumId="242151">
    <w:lvl>
      <w:numFmt w:val="bullet"/>
      <w:suff w:val="tab"/>
      <w:lvlText w:val="•"/>
      <w:rPr>
        <w:color w:val="3370ff"/>
      </w:rPr>
    </w:lvl>
  </w:abstractNum>
  <w:abstractNum w:abstractNumId="242152">
    <w:lvl>
      <w:numFmt w:val="bullet"/>
      <w:suff w:val="tab"/>
      <w:lvlText w:val="•"/>
      <w:rPr>
        <w:color w:val="3370ff"/>
      </w:rPr>
    </w:lvl>
  </w:abstractNum>
  <w:abstractNum w:abstractNumId="242153">
    <w:lvl>
      <w:numFmt w:val="bullet"/>
      <w:suff w:val="tab"/>
      <w:lvlText w:val="•"/>
      <w:rPr>
        <w:color w:val="3370ff"/>
      </w:rPr>
    </w:lvl>
  </w:abstractNum>
  <w:abstractNum w:abstractNumId="242154">
    <w:lvl>
      <w:numFmt w:val="bullet"/>
      <w:suff w:val="tab"/>
      <w:lvlText w:val="•"/>
      <w:rPr>
        <w:color w:val="3370ff"/>
      </w:rPr>
    </w:lvl>
  </w:abstractNum>
  <w:abstractNum w:abstractNumId="242155">
    <w:lvl>
      <w:numFmt w:val="bullet"/>
      <w:suff w:val="tab"/>
      <w:lvlText w:val="•"/>
      <w:rPr>
        <w:color w:val="3370ff"/>
      </w:rPr>
    </w:lvl>
  </w:abstractNum>
  <w:abstractNum w:abstractNumId="242156">
    <w:lvl>
      <w:numFmt w:val="bullet"/>
      <w:suff w:val="tab"/>
      <w:lvlText w:val="•"/>
      <w:rPr>
        <w:color w:val="3370ff"/>
      </w:rPr>
    </w:lvl>
  </w:abstractNum>
  <w:abstractNum w:abstractNumId="242157">
    <w:lvl>
      <w:numFmt w:val="bullet"/>
      <w:suff w:val="tab"/>
      <w:lvlText w:val="•"/>
      <w:rPr>
        <w:color w:val="3370ff"/>
      </w:rPr>
    </w:lvl>
  </w:abstractNum>
  <w:abstractNum w:abstractNumId="242158">
    <w:lvl>
      <w:numFmt w:val="bullet"/>
      <w:suff w:val="tab"/>
      <w:lvlText w:val="•"/>
      <w:rPr>
        <w:color w:val="3370ff"/>
      </w:rPr>
    </w:lvl>
  </w:abstractNum>
  <w:abstractNum w:abstractNumId="242159">
    <w:lvl>
      <w:numFmt w:val="bullet"/>
      <w:suff w:val="tab"/>
      <w:lvlText w:val="•"/>
      <w:rPr>
        <w:color w:val="3370ff"/>
      </w:rPr>
    </w:lvl>
  </w:abstractNum>
  <w:abstractNum w:abstractNumId="242160">
    <w:lvl>
      <w:numFmt w:val="bullet"/>
      <w:suff w:val="tab"/>
      <w:lvlText w:val="•"/>
      <w:rPr>
        <w:color w:val="3370ff"/>
      </w:rPr>
    </w:lvl>
  </w:abstractNum>
  <w:abstractNum w:abstractNumId="242161">
    <w:lvl>
      <w:numFmt w:val="bullet"/>
      <w:suff w:val="tab"/>
      <w:lvlText w:val="•"/>
      <w:rPr>
        <w:color w:val="3370ff"/>
      </w:rPr>
    </w:lvl>
  </w:abstractNum>
  <w:abstractNum w:abstractNumId="242162">
    <w:lvl>
      <w:numFmt w:val="bullet"/>
      <w:suff w:val="tab"/>
      <w:lvlText w:val="•"/>
      <w:rPr>
        <w:color w:val="3370ff"/>
      </w:rPr>
    </w:lvl>
  </w:abstractNum>
  <w:abstractNum w:abstractNumId="242163">
    <w:lvl>
      <w:numFmt w:val="bullet"/>
      <w:suff w:val="tab"/>
      <w:lvlText w:val="•"/>
      <w:rPr>
        <w:color w:val="3370ff"/>
      </w:rPr>
    </w:lvl>
  </w:abstractNum>
  <w:abstractNum w:abstractNumId="242164">
    <w:lvl>
      <w:numFmt w:val="bullet"/>
      <w:suff w:val="tab"/>
      <w:lvlText w:val="•"/>
      <w:rPr>
        <w:color w:val="3370ff"/>
      </w:rPr>
    </w:lvl>
  </w:abstractNum>
  <w:abstractNum w:abstractNumId="242165">
    <w:lvl>
      <w:numFmt w:val="bullet"/>
      <w:suff w:val="tab"/>
      <w:lvlText w:val="•"/>
      <w:rPr>
        <w:color w:val="3370ff"/>
      </w:rPr>
    </w:lvl>
  </w:abstractNum>
  <w:abstractNum w:abstractNumId="242166">
    <w:lvl>
      <w:start w:val="1"/>
      <w:numFmt w:val="decimal"/>
      <w:suff w:val="tab"/>
      <w:lvlText w:val="%1."/>
      <w:rPr>
        <w:color w:val="3370ff"/>
      </w:rPr>
    </w:lvl>
  </w:abstractNum>
  <w:abstractNum w:abstractNumId="242167">
    <w:lvl>
      <w:start w:val="2"/>
      <w:numFmt w:val="decimal"/>
      <w:suff w:val="tab"/>
      <w:lvlText w:val="%1."/>
      <w:rPr>
        <w:color w:val="3370ff"/>
      </w:rPr>
    </w:lvl>
  </w:abstractNum>
  <w:abstractNum w:abstractNumId="242168">
    <w:lvl>
      <w:start w:val="3"/>
      <w:numFmt w:val="decimal"/>
      <w:suff w:val="tab"/>
      <w:lvlText w:val="%1."/>
      <w:rPr>
        <w:color w:val="3370ff"/>
      </w:rPr>
    </w:lvl>
  </w:abstractNum>
  <w:abstractNum w:abstractNumId="242169">
    <w:lvl>
      <w:numFmt w:val="bullet"/>
      <w:suff w:val="tab"/>
      <w:lvlText w:val="￮"/>
      <w:rPr>
        <w:color w:val="3370ff"/>
      </w:rPr>
    </w:lvl>
  </w:abstractNum>
  <w:abstractNum w:abstractNumId="242170">
    <w:lvl>
      <w:numFmt w:val="bullet"/>
      <w:suff w:val="tab"/>
      <w:lvlText w:val="￮"/>
      <w:rPr>
        <w:color w:val="3370ff"/>
      </w:rPr>
    </w:lvl>
  </w:abstractNum>
  <w:abstractNum w:abstractNumId="242171">
    <w:lvl>
      <w:start w:val="4"/>
      <w:numFmt w:val="decimal"/>
      <w:suff w:val="tab"/>
      <w:lvlText w:val="%1."/>
      <w:rPr>
        <w:color w:val="3370ff"/>
      </w:rPr>
    </w:lvl>
  </w:abstractNum>
  <w:abstractNum w:abstractNumId="242172">
    <w:lvl>
      <w:numFmt w:val="bullet"/>
      <w:suff w:val="tab"/>
      <w:lvlText w:val="￮"/>
      <w:rPr>
        <w:color w:val="3370ff"/>
      </w:rPr>
    </w:lvl>
  </w:abstractNum>
  <w:abstractNum w:abstractNumId="242173">
    <w:lvl>
      <w:numFmt w:val="bullet"/>
      <w:suff w:val="tab"/>
      <w:lvlText w:val="￮"/>
      <w:rPr>
        <w:color w:val="3370ff"/>
      </w:rPr>
    </w:lvl>
  </w:abstractNum>
  <w:abstractNum w:abstractNumId="242174">
    <w:lvl>
      <w:numFmt w:val="bullet"/>
      <w:suff w:val="tab"/>
      <w:lvlText w:val="￮"/>
      <w:rPr>
        <w:color w:val="3370ff"/>
      </w:rPr>
    </w:lvl>
  </w:abstractNum>
  <w:num w:numId="1">
    <w:abstractNumId w:val="242073"/>
  </w:num>
  <w:num w:numId="2">
    <w:abstractNumId w:val="242074"/>
  </w:num>
  <w:num w:numId="3">
    <w:abstractNumId w:val="242075"/>
  </w:num>
  <w:num w:numId="4">
    <w:abstractNumId w:val="242076"/>
  </w:num>
  <w:num w:numId="5">
    <w:abstractNumId w:val="242077"/>
  </w:num>
  <w:num w:numId="6">
    <w:abstractNumId w:val="242078"/>
  </w:num>
  <w:num w:numId="7">
    <w:abstractNumId w:val="242079"/>
  </w:num>
  <w:num w:numId="8">
    <w:abstractNumId w:val="242080"/>
  </w:num>
  <w:num w:numId="9">
    <w:abstractNumId w:val="242081"/>
  </w:num>
  <w:num w:numId="10">
    <w:abstractNumId w:val="242082"/>
  </w:num>
  <w:num w:numId="11">
    <w:abstractNumId w:val="242083"/>
  </w:num>
  <w:num w:numId="12">
    <w:abstractNumId w:val="242084"/>
  </w:num>
  <w:num w:numId="13">
    <w:abstractNumId w:val="242085"/>
  </w:num>
  <w:num w:numId="14">
    <w:abstractNumId w:val="242086"/>
  </w:num>
  <w:num w:numId="15">
    <w:abstractNumId w:val="242087"/>
  </w:num>
  <w:num w:numId="16">
    <w:abstractNumId w:val="242088"/>
  </w:num>
  <w:num w:numId="17">
    <w:abstractNumId w:val="242089"/>
  </w:num>
  <w:num w:numId="18">
    <w:abstractNumId w:val="242090"/>
  </w:num>
  <w:num w:numId="19">
    <w:abstractNumId w:val="242091"/>
  </w:num>
  <w:num w:numId="20">
    <w:abstractNumId w:val="242092"/>
  </w:num>
  <w:num w:numId="21">
    <w:abstractNumId w:val="242093"/>
  </w:num>
  <w:num w:numId="22">
    <w:abstractNumId w:val="242094"/>
  </w:num>
  <w:num w:numId="23">
    <w:abstractNumId w:val="242095"/>
  </w:num>
  <w:num w:numId="24">
    <w:abstractNumId w:val="242096"/>
  </w:num>
  <w:num w:numId="25">
    <w:abstractNumId w:val="242097"/>
  </w:num>
  <w:num w:numId="26">
    <w:abstractNumId w:val="242098"/>
  </w:num>
  <w:num w:numId="27">
    <w:abstractNumId w:val="242099"/>
  </w:num>
  <w:num w:numId="28">
    <w:abstractNumId w:val="242100"/>
  </w:num>
  <w:num w:numId="29">
    <w:abstractNumId w:val="242101"/>
  </w:num>
  <w:num w:numId="30">
    <w:abstractNumId w:val="242102"/>
  </w:num>
  <w:num w:numId="31">
    <w:abstractNumId w:val="242103"/>
  </w:num>
  <w:num w:numId="32">
    <w:abstractNumId w:val="242104"/>
  </w:num>
  <w:num w:numId="33">
    <w:abstractNumId w:val="242105"/>
  </w:num>
  <w:num w:numId="34">
    <w:abstractNumId w:val="242106"/>
  </w:num>
  <w:num w:numId="35">
    <w:abstractNumId w:val="242107"/>
  </w:num>
  <w:num w:numId="36">
    <w:abstractNumId w:val="242108"/>
  </w:num>
  <w:num w:numId="37">
    <w:abstractNumId w:val="242109"/>
  </w:num>
  <w:num w:numId="38">
    <w:abstractNumId w:val="242110"/>
  </w:num>
  <w:num w:numId="39">
    <w:abstractNumId w:val="242111"/>
  </w:num>
  <w:num w:numId="40">
    <w:abstractNumId w:val="242112"/>
  </w:num>
  <w:num w:numId="41">
    <w:abstractNumId w:val="242113"/>
  </w:num>
  <w:num w:numId="42">
    <w:abstractNumId w:val="242114"/>
  </w:num>
  <w:num w:numId="43">
    <w:abstractNumId w:val="242115"/>
  </w:num>
  <w:num w:numId="44">
    <w:abstractNumId w:val="242116"/>
  </w:num>
  <w:num w:numId="45">
    <w:abstractNumId w:val="242117"/>
  </w:num>
  <w:num w:numId="46">
    <w:abstractNumId w:val="242118"/>
  </w:num>
  <w:num w:numId="47">
    <w:abstractNumId w:val="242119"/>
  </w:num>
  <w:num w:numId="48">
    <w:abstractNumId w:val="242120"/>
  </w:num>
  <w:num w:numId="49">
    <w:abstractNumId w:val="242121"/>
  </w:num>
  <w:num w:numId="50">
    <w:abstractNumId w:val="242122"/>
  </w:num>
  <w:num w:numId="51">
    <w:abstractNumId w:val="242123"/>
  </w:num>
  <w:num w:numId="52">
    <w:abstractNumId w:val="242124"/>
  </w:num>
  <w:num w:numId="53">
    <w:abstractNumId w:val="242125"/>
  </w:num>
  <w:num w:numId="54">
    <w:abstractNumId w:val="242126"/>
  </w:num>
  <w:num w:numId="55">
    <w:abstractNumId w:val="242127"/>
  </w:num>
  <w:num w:numId="56">
    <w:abstractNumId w:val="242128"/>
  </w:num>
  <w:num w:numId="57">
    <w:abstractNumId w:val="242129"/>
  </w:num>
  <w:num w:numId="58">
    <w:abstractNumId w:val="242130"/>
  </w:num>
  <w:num w:numId="59">
    <w:abstractNumId w:val="242131"/>
  </w:num>
  <w:num w:numId="60">
    <w:abstractNumId w:val="242132"/>
  </w:num>
  <w:num w:numId="61">
    <w:abstractNumId w:val="242133"/>
  </w:num>
  <w:num w:numId="62">
    <w:abstractNumId w:val="242134"/>
  </w:num>
  <w:num w:numId="63">
    <w:abstractNumId w:val="242135"/>
  </w:num>
  <w:num w:numId="64">
    <w:abstractNumId w:val="242136"/>
  </w:num>
  <w:num w:numId="65">
    <w:abstractNumId w:val="242137"/>
  </w:num>
  <w:num w:numId="66">
    <w:abstractNumId w:val="242138"/>
  </w:num>
  <w:num w:numId="67">
    <w:abstractNumId w:val="242139"/>
  </w:num>
  <w:num w:numId="68">
    <w:abstractNumId w:val="242140"/>
  </w:num>
  <w:num w:numId="69">
    <w:abstractNumId w:val="242141"/>
  </w:num>
  <w:num w:numId="70">
    <w:abstractNumId w:val="242142"/>
  </w:num>
  <w:num w:numId="71">
    <w:abstractNumId w:val="242143"/>
  </w:num>
  <w:num w:numId="72">
    <w:abstractNumId w:val="242144"/>
  </w:num>
  <w:num w:numId="73">
    <w:abstractNumId w:val="242145"/>
  </w:num>
  <w:num w:numId="74">
    <w:abstractNumId w:val="242146"/>
  </w:num>
  <w:num w:numId="75">
    <w:abstractNumId w:val="242147"/>
  </w:num>
  <w:num w:numId="76">
    <w:abstractNumId w:val="242148"/>
  </w:num>
  <w:num w:numId="77">
    <w:abstractNumId w:val="242149"/>
  </w:num>
  <w:num w:numId="78">
    <w:abstractNumId w:val="242150"/>
  </w:num>
  <w:num w:numId="79">
    <w:abstractNumId w:val="242151"/>
  </w:num>
  <w:num w:numId="80">
    <w:abstractNumId w:val="242152"/>
  </w:num>
  <w:num w:numId="81">
    <w:abstractNumId w:val="242153"/>
  </w:num>
  <w:num w:numId="82">
    <w:abstractNumId w:val="242154"/>
  </w:num>
  <w:num w:numId="83">
    <w:abstractNumId w:val="242155"/>
  </w:num>
  <w:num w:numId="84">
    <w:abstractNumId w:val="242156"/>
  </w:num>
  <w:num w:numId="85">
    <w:abstractNumId w:val="242157"/>
  </w:num>
  <w:num w:numId="86">
    <w:abstractNumId w:val="242158"/>
  </w:num>
  <w:num w:numId="87">
    <w:abstractNumId w:val="242159"/>
  </w:num>
  <w:num w:numId="88">
    <w:abstractNumId w:val="242160"/>
  </w:num>
  <w:num w:numId="89">
    <w:abstractNumId w:val="242161"/>
  </w:num>
  <w:num w:numId="90">
    <w:abstractNumId w:val="242162"/>
  </w:num>
  <w:num w:numId="91">
    <w:abstractNumId w:val="242163"/>
  </w:num>
  <w:num w:numId="92">
    <w:abstractNumId w:val="242164"/>
  </w:num>
  <w:num w:numId="93">
    <w:abstractNumId w:val="242165"/>
  </w:num>
  <w:num w:numId="94">
    <w:abstractNumId w:val="242166"/>
  </w:num>
  <w:num w:numId="95">
    <w:abstractNumId w:val="242167"/>
  </w:num>
  <w:num w:numId="96">
    <w:abstractNumId w:val="242168"/>
  </w:num>
  <w:num w:numId="97">
    <w:abstractNumId w:val="242169"/>
  </w:num>
  <w:num w:numId="98">
    <w:abstractNumId w:val="242170"/>
  </w:num>
  <w:num w:numId="99">
    <w:abstractNumId w:val="242171"/>
  </w:num>
  <w:num w:numId="100">
    <w:abstractNumId w:val="242172"/>
  </w:num>
  <w:num w:numId="101">
    <w:abstractNumId w:val="242173"/>
  </w:num>
  <w:num w:numId="102">
    <w:abstractNumId w:val="2421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2026-08-06T17:26:06Z</dcterms:created>
  <dc:creator>Apache POI</dc:creator>
</cp:coreProperties>
</file>