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Fixguru — Unclear Scope: Client Story &amp; Acceptance Criteria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24 Jul 2026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Fixguru Scope Lock v2, 24 Jun 2026 (AGREED IN PRINCIPLE and Needs-Scoping Register sections); credit limit item additionally grounded in the 24 Jun 2026 UAT transcript (Fixguru-UAT-with-Gareth-and-Bryan)</w:t>
        <w:br/>
      </w:r>
      <w:r>
        <w:rPr>
          <w:rFonts w:eastAsia="等线" w:ascii="Arial" w:cs="Arial" w:hAnsi="Arial"/>
          <w:b w:val="true"/>
          <w:sz w:val="22"/>
        </w:rPr>
        <w:t>Purpose:</w:t>
      </w:r>
      <w:r>
        <w:rPr>
          <w:rFonts w:eastAsia="等线" w:ascii="Arial" w:cs="Arial" w:hAnsi="Arial"/>
          <w:sz w:val="22"/>
        </w:rPr>
        <w:t xml:space="preserve"> Every item below is currently blocked on a client decision, not a build decision. For each one this doc lays out the client story, why Fixguru needs it, the request that surfaced it, a suggested resolution, and the acceptance criteria to close with the client before dev picks it up.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Customer search by phone / WhatsApp number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Scope Lock ref:</w:t>
      </w:r>
      <w:r>
        <w:rPr>
          <w:rFonts w:eastAsia="等线" w:ascii="Arial" w:cs="Arial" w:hAnsi="Arial"/>
          <w:sz w:val="22"/>
        </w:rPr>
        <w:t xml:space="preserve"> AIP-03 — AGREED IN PRINCIPLE, implementation not locked, Blocking: YES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Client story: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Fixguru sales admin gets a WhatsApp message from a regular buyer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Buyer gives no company name — just "need 500 pcs of the usual boxes, same as last time"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Admin has only the phone number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AutoCount lookup today is by company name or customer code, not phone number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search by number returns nothing, so admin falls back to scrolling recent chats to recognise the number — the exact manual workaround MAIA is meant to remove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Why they need this: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Fixguru's real order intake channel is WhatsApp; on WhatsApp the only reliable identifier is the phone number, not company name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Pricing history, delivery method and credit check all depend on first resolving "whose order is this"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Blocking dependency for items 2–4 below, not a standalone nice-to-have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Request that brought this out.</w:t>
      </w:r>
      <w:r>
        <w:rPr>
          <w:rFonts w:eastAsia="等线" w:ascii="Arial" w:cs="Arial" w:hAnsi="Arial"/>
          <w:sz w:val="22"/>
        </w:rPr>
        <w:t xml:space="preserve"> Client raised it directly in the 24 Jun 2026 UAT session: sales staff said they often only have the WhatsApp/phone number, not the exact registered company name. [FF | 24 Jun 2026]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Suggestion: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Search by phone / mobile / WhatsApp number as primary key, exact match only — no partial-number search, to avoid false positives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 multiple matches, show a disambiguation list (customer name + customer code + last order date) and require staff to pick before proceeding — never auto-select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Acceptance criteria to confirm with client: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Search fields confirmed: phone, mobile, WhatsApp number, and/or named contact-person number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Duplicate-number handling defined: disambiguation list shown, never auto-picked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Partial-number search: confirmed in scope or out of scope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Search result display format confirmed before staff commits to a customer match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Historical delivery method recommendation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Scope Lock ref:</w:t>
      </w:r>
      <w:r>
        <w:rPr>
          <w:rFonts w:eastAsia="等线" w:ascii="Arial" w:cs="Arial" w:hAnsi="Arial"/>
          <w:sz w:val="22"/>
        </w:rPr>
        <w:t xml:space="preserve"> AIP-04 + NS-07 — AGREED IN PRINCIPLE, implementation not locked, Blocking: NO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Client story: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Customer's order ready to dispatch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Same customer has used internal delivery, Lalamove, and self-pickup on different orders depending on urgency and cost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Staff has to remember or dig through past invoices to guess which method this customer prefers this time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Staff confirms with customer over WhatsApp before booking — an extra round trip a "last used" prompt would remove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Why they need this: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Delivery method isn't fixed per customer — it varies order to order, so a static default is wrong as often as it's right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Surfacing the last few actual choices lets staff make a fast, informed pick instead of re-asking every time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Request that brought this out.</w:t>
      </w:r>
      <w:r>
        <w:rPr>
          <w:rFonts w:eastAsia="等线" w:ascii="Arial" w:cs="Arial" w:hAnsi="Arial"/>
          <w:sz w:val="22"/>
        </w:rPr>
        <w:t xml:space="preserve"> Client asked to see the last 3–5 historical delivery methods per customer because customers switch between courier, pickup and Lalamove depending on urgency; client said "last 5 would be good." Client described the pattern he wants surfaced but did not name a source doctype (Invoice / SO / DO) — that's an open implementation call, not a client-specified detail. [FF | 24 Jun 2026]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Suggestion: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Show last 5 records, sourced from Delivery Order (DO) — DO is the authoritative record of what actually shipped, not what was quoted or ordered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Present as a tappable recommendation chip staff must actively confirm, never auto-applied to the order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Delivery method label must match the SKU/item line used for billing (per S-04), so the recommendation and the billed line agree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Acceptance criteria to confirm with client: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Confirmed count: last 3 or last 5 records shown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Confirmed source doctype: Invoice, Sales Order, or Delivery Order — pick one canonical source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Confirmed behaviour: recommendation only, staff must actively pick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Exact delivery method labels/SKUs confirmed, matching S-04's delivery-charge-as-SKU-line resolution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3. Credit limit / credit exposure approval (incl. payment-proof vs AR timing)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Scope Lock ref:</w:t>
      </w:r>
      <w:r>
        <w:rPr>
          <w:rFonts w:eastAsia="等线" w:ascii="Arial" w:cs="Arial" w:hAnsi="Arial"/>
          <w:sz w:val="22"/>
        </w:rPr>
        <w:t xml:space="preserve"> AIP-05 + NS-05 (merged) — AGREED IN PRINCIPLE, Blocking: YES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Client story: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Client, on blocking at order/SO stage: "Credit limit block on order — miss opportunity to collect money and invoice." Blocking that early kills the quotation/negotiation before it can even reach invoicing.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Client's own fix: "Fix guru side: credit limit block on DN. If customer high outstanding, will block on DN. Based on DO value, will block." — the gate sits at DN submission, triggered by DO value, not order creation.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Separately, team "approves manually after verifying bank transfer slip even if AR not yet knocked off" — two distinct approval paths exist: AR-negative/prepaid (approve on bank-in slip) vs credit-limit-exceeded (case-by-case, also bank-in slip), both routed to Ivan today.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Why they need this: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Blocking at order/quotation stage kills deals before they can even be negotiated — client wants that stage left open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DN is the last checkpoint before goods physically leave, so it's the right point to enforce credit control without losing the sale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Approval is manual, not automatic, because AutoCount AR lags real payments — a hard rule reading only the stale ledger would wrongly block customers who already paid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Request that brought this out.</w:t>
      </w:r>
      <w:r>
        <w:rPr>
          <w:rFonts w:eastAsia="等线" w:ascii="Arial" w:cs="Arial" w:hAnsi="Arial"/>
          <w:sz w:val="22"/>
        </w:rPr>
        <w:t xml:space="preserve"> Client feedback captured directly in the 24 Jun 2026 UAT session and written up in the Round 3 Tech Brief (Issue 6). [FF | 24 Jun 2026]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Status:</w:t>
      </w:r>
      <w:r>
        <w:rPr>
          <w:rFonts w:eastAsia="等线" w:ascii="Arial" w:cs="Arial" w:hAnsi="Arial"/>
          <w:sz w:val="22"/>
        </w:rPr>
        <w:t xml:space="preserve"> Direction is already decided by the client, not open — dev action items exist to move the block trigger from SO to DN submit (Wei Yon) and split the two approval flows. What's still genuinely open: (1) formally locking this in writing/Scope Lock — currently only captured in the Tech Brief, not signed off; (2) which roles can bypass — blocked on Azib's AutoCount screenshot (open item C2).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Suggestion:</w:t>
      </w:r>
      <w:r>
        <w:rPr>
          <w:rFonts w:eastAsia="等线" w:ascii="Arial" w:cs="Arial" w:hAnsi="Arial"/>
          <w:sz w:val="22"/>
        </w:rPr>
        <w:t xml:space="preserve"> lock this as DN-submit block, DO-value-triggered, per the client's own instruction — no need to re-litigate the decision, just formalise it in the Scope Lock doc and close out the bypass-roles question.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Block point confirmed: DN submit, not order/SO — per client instruction, needs formal write-up only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Trigger confirmed: DO value (not just outstanding-balance flag)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Approver named: Ivan, for both approval paths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roles can bypass — pending Azib's AutoCount screenshot (C2)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Approver context view built and confirmed: AR, pending SO/DN, credit limit, available balance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4. Minimum price / below-threshold approval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Scope Lock ref:</w:t>
      </w:r>
      <w:r>
        <w:rPr>
          <w:rFonts w:eastAsia="等线" w:ascii="Arial" w:cs="Arial" w:hAnsi="Arial"/>
          <w:sz w:val="22"/>
        </w:rPr>
        <w:t xml:space="preserve"> AIP-06 — AGREED IN PRINCIPLE, implementation not locked, Blocking: YES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Client story: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 staff finalising a quote offers a discount to close the deal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Discount drops price below the item's floor — e.g. standard price 33 sen, floor 27 sen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 today lives in someone's head or a spreadsheet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Nothing stops the quote going out under-priced until finance notices after the fact, by which point the customer already has the number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Why they need this: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Margin protection at item level is the whole point of a minimum price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 approval step that fires only after the fact protects nothing — it needs to catch the quote before it reaches the customer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Request that brought this out.</w:t>
      </w:r>
      <w:r>
        <w:rPr>
          <w:rFonts w:eastAsia="等线" w:ascii="Arial" w:cs="Arial" w:hAnsi="Arial"/>
          <w:sz w:val="22"/>
        </w:rPr>
        <w:t xml:space="preserve"> Client clarified minimum price is item-level with a concrete example (33 sen standard, 27 sen floor) during the 24 Jun 2026 session. [FF | 24 Jun 2026]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Suggestion: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Threshold per item + UOM, since box sizes/formats have different cost floors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Existing price-book approved prices bypass this check entirely (see item 5) — already approved once, don't re-approve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Quotation can be generated and held in a "PENDING APPROVAL" state visible internally, but not sent to the customer until cleared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Acceptance criteria to confirm with client: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Threshold scope confirmed: global per item, or per item + UOM combination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Bypass rule confirmed for existing price-book entries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Quotation generation behaviour confirmed while approval pending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Approver role and location in the flow confirmed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5. Price-book / customer-specific pricing bypass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Scope Lock ref:</w:t>
      </w:r>
      <w:r>
        <w:rPr>
          <w:rFonts w:eastAsia="等线" w:ascii="Arial" w:cs="Arial" w:hAnsi="Arial"/>
          <w:sz w:val="22"/>
        </w:rPr>
        <w:t xml:space="preserve"> AIP-07 — AGREED IN PRINCIPLE, implementation not locked, Blocking: NO, Confidence: LOW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Client story: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Long-standing customer already has a special negotiated price, agreed and approved months ago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Every quote to that customer re-runs the minimum-price approval check (item 4) even though this exact price was already signed off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Routine repeat order turns into a repeated approval chase for no reason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Why they need this: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Repeated approval on already-approved pricing wastes the approver's time and slows routine orders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Risk that staff learn to route around the check if it fires too often on legitimate cases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Request that brought this out.</w:t>
      </w:r>
      <w:r>
        <w:rPr>
          <w:rFonts w:eastAsia="等线" w:ascii="Arial" w:cs="Arial" w:hAnsi="Arial"/>
          <w:sz w:val="22"/>
        </w:rPr>
        <w:t xml:space="preserve"> Client noted some customers already have approved special prices maintained in a price book / customer pricing structure and expect those not to trigger repeat approval. [FF | 24 Jun 2026]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Suggestion: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Maintain approved customer prices in AutoCount's price book if the API exposes it; otherwise a scoped CSV import, owned by Fixguru finance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price-book price fully bypasses the minimum-price check — it was already approved once, don't check it again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Acceptance criteria to confirm with client: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Confirmed where the approved customer price is maintained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Confirmed whether this data is available via the AutoCount API, or needs manual import/upload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Confirmed rule: full bypass vs widened threshold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upload/import required, confirmed who owns keeping the data current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6. Warehouse / shelf / branch stock mapping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Scope Lock ref:</w:t>
      </w:r>
      <w:r>
        <w:rPr>
          <w:rFonts w:eastAsia="等线" w:ascii="Arial" w:cs="Arial" w:hAnsi="Arial"/>
          <w:sz w:val="22"/>
        </w:rPr>
        <w:t xml:space="preserve"> AIP-08 / NS-08 — partially resolved 13 Jul 2026 (shelf number now populates the DN additional-note field; Fixguru confirmed no branch hierarchy exists). Warehouse-level mapping itself remains open, Blocking: YES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Client story: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Picker gets a delivery order and needs to know which warehouse — and which shelf — actually holds the stock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Fixguru's stock sits across more than one physical location inside AutoCount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AutoCount table or hierarchy represents "warehouse" hasn't been technically confirmed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can't yet guarantee it's checking the right stock pool before letting a DO go out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Why they need this: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SOW commitment: MAIA validates stock against AutoCount/WMS and prevents oversell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That commitment is only as good as the mapping underneath it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Shelf and branch are already settled — warehouse is the one piece still standing between "stock validation" as a locked objective and a working feature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Request that brought this out.</w:t>
      </w:r>
      <w:r>
        <w:rPr>
          <w:rFonts w:eastAsia="等线" w:ascii="Arial" w:cs="Arial" w:hAnsi="Arial"/>
          <w:sz w:val="22"/>
        </w:rPr>
        <w:t xml:space="preserve"> First surfaced in UAT Gaps (stock/warehouse sync, shelf info needed for pick list/DO, stock balance not identifiable), clarified further in the 24 Jun 2026 session — AutoCount may model shelves/branches via a warehouse hierarchy or sub-warehouse configuration, but exact mapping needs technical confirmation. [FF | 24 Jun 2026]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Suggestion: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Mindhive tech + Fixguru AutoCount admin to jointly identify the exact stock/warehouse table in a short technical session — this shouldn't need a client-side product decision, just a schema walkthrough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Once mapped, MAIA hard-blocks DO creation when the mapped warehouse shows insufficient stock — soft warnings don't prevent oversell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Multi-warehouse balances shown to picker as a simple per-location list, no need for a richer UI than that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Acceptance criteria to confirm (technical, Mindhive tech + Fixguru AutoCount admin):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Exact AutoCount module/table used for warehouse identified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Confirmed whether MAIA hard-blocks or only warns on insufficient mapped-warehouse stock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Confirmed how multi-warehouse stock displays when an item exists in more than one location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See also: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80430">
    <w:lvl>
      <w:numFmt w:val="bullet"/>
      <w:suff w:val="tab"/>
      <w:lvlText w:val="•"/>
      <w:rPr>
        <w:color w:val="3370ff"/>
      </w:rPr>
    </w:lvl>
  </w:abstractNum>
  <w:abstractNum w:abstractNumId="880431">
    <w:lvl>
      <w:numFmt w:val="bullet"/>
      <w:suff w:val="tab"/>
      <w:lvlText w:val="•"/>
      <w:rPr>
        <w:color w:val="3370ff"/>
      </w:rPr>
    </w:lvl>
  </w:abstractNum>
  <w:abstractNum w:abstractNumId="880432">
    <w:lvl>
      <w:numFmt w:val="bullet"/>
      <w:suff w:val="tab"/>
      <w:lvlText w:val="•"/>
      <w:rPr>
        <w:color w:val="3370ff"/>
      </w:rPr>
    </w:lvl>
  </w:abstractNum>
  <w:abstractNum w:abstractNumId="880433">
    <w:lvl>
      <w:numFmt w:val="bullet"/>
      <w:suff w:val="tab"/>
      <w:lvlText w:val="•"/>
      <w:rPr>
        <w:color w:val="3370ff"/>
      </w:rPr>
    </w:lvl>
  </w:abstractNum>
  <w:abstractNum w:abstractNumId="880434">
    <w:lvl>
      <w:numFmt w:val="bullet"/>
      <w:suff w:val="tab"/>
      <w:lvlText w:val="•"/>
      <w:rPr>
        <w:color w:val="3370ff"/>
      </w:rPr>
    </w:lvl>
  </w:abstractNum>
  <w:abstractNum w:abstractNumId="880435">
    <w:lvl>
      <w:numFmt w:val="bullet"/>
      <w:suff w:val="tab"/>
      <w:lvlText w:val="•"/>
      <w:rPr>
        <w:color w:val="3370ff"/>
      </w:rPr>
    </w:lvl>
  </w:abstractNum>
  <w:abstractNum w:abstractNumId="880436">
    <w:lvl>
      <w:numFmt w:val="bullet"/>
      <w:suff w:val="tab"/>
      <w:lvlText w:val="•"/>
      <w:rPr>
        <w:color w:val="3370ff"/>
      </w:rPr>
    </w:lvl>
  </w:abstractNum>
  <w:abstractNum w:abstractNumId="880437">
    <w:lvl>
      <w:numFmt w:val="bullet"/>
      <w:suff w:val="tab"/>
      <w:lvlText w:val="•"/>
      <w:rPr>
        <w:color w:val="3370ff"/>
      </w:rPr>
    </w:lvl>
  </w:abstractNum>
  <w:abstractNum w:abstractNumId="880438">
    <w:lvl>
      <w:numFmt w:val="bullet"/>
      <w:suff w:val="tab"/>
      <w:lvlText w:val="•"/>
      <w:rPr>
        <w:color w:val="3370ff"/>
      </w:rPr>
    </w:lvl>
  </w:abstractNum>
  <w:abstractNum w:abstractNumId="880439">
    <w:lvl>
      <w:numFmt w:val="bullet"/>
      <w:suff w:val="tab"/>
      <w:lvlText w:val="•"/>
      <w:rPr>
        <w:color w:val="3370ff"/>
      </w:rPr>
    </w:lvl>
  </w:abstractNum>
  <w:abstractNum w:abstractNumId="880440">
    <w:lvl>
      <w:numFmt w:val="bullet"/>
      <w:suff w:val="space"/>
      <w:lvlText w:val="□"/>
    </w:lvl>
  </w:abstractNum>
  <w:abstractNum w:abstractNumId="880441">
    <w:lvl>
      <w:numFmt w:val="bullet"/>
      <w:suff w:val="space"/>
      <w:lvlText w:val="□"/>
    </w:lvl>
  </w:abstractNum>
  <w:abstractNum w:abstractNumId="880442">
    <w:lvl>
      <w:numFmt w:val="bullet"/>
      <w:suff w:val="space"/>
      <w:lvlText w:val="□"/>
    </w:lvl>
  </w:abstractNum>
  <w:abstractNum w:abstractNumId="880443">
    <w:lvl>
      <w:numFmt w:val="bullet"/>
      <w:suff w:val="space"/>
      <w:lvlText w:val="□"/>
    </w:lvl>
  </w:abstractNum>
  <w:abstractNum w:abstractNumId="880444">
    <w:lvl>
      <w:numFmt w:val="bullet"/>
      <w:suff w:val="tab"/>
      <w:lvlText w:val="•"/>
      <w:rPr>
        <w:color w:val="3370ff"/>
      </w:rPr>
    </w:lvl>
  </w:abstractNum>
  <w:abstractNum w:abstractNumId="880445">
    <w:lvl>
      <w:numFmt w:val="bullet"/>
      <w:suff w:val="tab"/>
      <w:lvlText w:val="•"/>
      <w:rPr>
        <w:color w:val="3370ff"/>
      </w:rPr>
    </w:lvl>
  </w:abstractNum>
  <w:abstractNum w:abstractNumId="880446">
    <w:lvl>
      <w:numFmt w:val="bullet"/>
      <w:suff w:val="tab"/>
      <w:lvlText w:val="•"/>
      <w:rPr>
        <w:color w:val="3370ff"/>
      </w:rPr>
    </w:lvl>
  </w:abstractNum>
  <w:abstractNum w:abstractNumId="880447">
    <w:lvl>
      <w:numFmt w:val="bullet"/>
      <w:suff w:val="tab"/>
      <w:lvlText w:val="•"/>
      <w:rPr>
        <w:color w:val="3370ff"/>
      </w:rPr>
    </w:lvl>
  </w:abstractNum>
  <w:abstractNum w:abstractNumId="880448">
    <w:lvl>
      <w:numFmt w:val="bullet"/>
      <w:suff w:val="tab"/>
      <w:lvlText w:val="•"/>
      <w:rPr>
        <w:color w:val="3370ff"/>
      </w:rPr>
    </w:lvl>
  </w:abstractNum>
  <w:abstractNum w:abstractNumId="880449">
    <w:lvl>
      <w:numFmt w:val="bullet"/>
      <w:suff w:val="tab"/>
      <w:lvlText w:val="•"/>
      <w:rPr>
        <w:color w:val="3370ff"/>
      </w:rPr>
    </w:lvl>
  </w:abstractNum>
  <w:abstractNum w:abstractNumId="880450">
    <w:lvl>
      <w:numFmt w:val="bullet"/>
      <w:suff w:val="tab"/>
      <w:lvlText w:val="•"/>
      <w:rPr>
        <w:color w:val="3370ff"/>
      </w:rPr>
    </w:lvl>
  </w:abstractNum>
  <w:abstractNum w:abstractNumId="880451">
    <w:lvl>
      <w:numFmt w:val="bullet"/>
      <w:suff w:val="tab"/>
      <w:lvlText w:val="•"/>
      <w:rPr>
        <w:color w:val="3370ff"/>
      </w:rPr>
    </w:lvl>
  </w:abstractNum>
  <w:abstractNum w:abstractNumId="880452">
    <w:lvl>
      <w:numFmt w:val="bullet"/>
      <w:suff w:val="tab"/>
      <w:lvlText w:val="•"/>
      <w:rPr>
        <w:color w:val="3370ff"/>
      </w:rPr>
    </w:lvl>
  </w:abstractNum>
  <w:abstractNum w:abstractNumId="880453">
    <w:lvl>
      <w:numFmt w:val="bullet"/>
      <w:suff w:val="space"/>
      <w:lvlText w:val="□"/>
    </w:lvl>
  </w:abstractNum>
  <w:abstractNum w:abstractNumId="880454">
    <w:lvl>
      <w:numFmt w:val="bullet"/>
      <w:suff w:val="space"/>
      <w:lvlText w:val="□"/>
    </w:lvl>
  </w:abstractNum>
  <w:abstractNum w:abstractNumId="880455">
    <w:lvl>
      <w:numFmt w:val="bullet"/>
      <w:suff w:val="space"/>
      <w:lvlText w:val="□"/>
    </w:lvl>
  </w:abstractNum>
  <w:abstractNum w:abstractNumId="880456">
    <w:lvl>
      <w:numFmt w:val="bullet"/>
      <w:suff w:val="space"/>
      <w:lvlText w:val="□"/>
    </w:lvl>
  </w:abstractNum>
  <w:abstractNum w:abstractNumId="880457">
    <w:lvl>
      <w:numFmt w:val="bullet"/>
      <w:suff w:val="tab"/>
      <w:lvlText w:val="•"/>
      <w:rPr>
        <w:color w:val="3370ff"/>
      </w:rPr>
    </w:lvl>
  </w:abstractNum>
  <w:abstractNum w:abstractNumId="880458">
    <w:lvl>
      <w:numFmt w:val="bullet"/>
      <w:suff w:val="tab"/>
      <w:lvlText w:val="•"/>
      <w:rPr>
        <w:color w:val="3370ff"/>
      </w:rPr>
    </w:lvl>
  </w:abstractNum>
  <w:abstractNum w:abstractNumId="880459">
    <w:lvl>
      <w:numFmt w:val="bullet"/>
      <w:suff w:val="tab"/>
      <w:lvlText w:val="•"/>
      <w:rPr>
        <w:color w:val="3370ff"/>
      </w:rPr>
    </w:lvl>
  </w:abstractNum>
  <w:abstractNum w:abstractNumId="880460">
    <w:lvl>
      <w:numFmt w:val="bullet"/>
      <w:suff w:val="tab"/>
      <w:lvlText w:val="•"/>
      <w:rPr>
        <w:color w:val="3370ff"/>
      </w:rPr>
    </w:lvl>
  </w:abstractNum>
  <w:abstractNum w:abstractNumId="880461">
    <w:lvl>
      <w:numFmt w:val="bullet"/>
      <w:suff w:val="tab"/>
      <w:lvlText w:val="•"/>
      <w:rPr>
        <w:color w:val="3370ff"/>
      </w:rPr>
    </w:lvl>
  </w:abstractNum>
  <w:abstractNum w:abstractNumId="880462">
    <w:lvl>
      <w:numFmt w:val="bullet"/>
      <w:suff w:val="tab"/>
      <w:lvlText w:val="•"/>
      <w:rPr>
        <w:color w:val="3370ff"/>
      </w:rPr>
    </w:lvl>
  </w:abstractNum>
  <w:abstractNum w:abstractNumId="880463">
    <w:lvl>
      <w:numFmt w:val="bullet"/>
      <w:suff w:val="space"/>
      <w:lvlText w:val="□"/>
      <w:lvlText w:val="☑"/>
    </w:lvl>
  </w:abstractNum>
  <w:abstractNum w:abstractNumId="880464">
    <w:lvl>
      <w:numFmt w:val="bullet"/>
      <w:suff w:val="space"/>
      <w:lvlText w:val="□"/>
      <w:lvlText w:val="☑"/>
    </w:lvl>
  </w:abstractNum>
  <w:abstractNum w:abstractNumId="880465">
    <w:lvl>
      <w:numFmt w:val="bullet"/>
      <w:suff w:val="space"/>
      <w:lvlText w:val="□"/>
      <w:lvlText w:val="☑"/>
    </w:lvl>
  </w:abstractNum>
  <w:abstractNum w:abstractNumId="880466">
    <w:lvl>
      <w:numFmt w:val="bullet"/>
      <w:suff w:val="space"/>
      <w:lvlText w:val="□"/>
    </w:lvl>
  </w:abstractNum>
  <w:abstractNum w:abstractNumId="880467">
    <w:lvl>
      <w:numFmt w:val="bullet"/>
      <w:suff w:val="space"/>
      <w:lvlText w:val="□"/>
    </w:lvl>
  </w:abstractNum>
  <w:abstractNum w:abstractNumId="880468">
    <w:lvl>
      <w:numFmt w:val="bullet"/>
      <w:suff w:val="tab"/>
      <w:lvlText w:val="•"/>
      <w:rPr>
        <w:color w:val="3370ff"/>
      </w:rPr>
    </w:lvl>
  </w:abstractNum>
  <w:abstractNum w:abstractNumId="880469">
    <w:lvl>
      <w:numFmt w:val="bullet"/>
      <w:suff w:val="tab"/>
      <w:lvlText w:val="•"/>
      <w:rPr>
        <w:color w:val="3370ff"/>
      </w:rPr>
    </w:lvl>
  </w:abstractNum>
  <w:abstractNum w:abstractNumId="880470">
    <w:lvl>
      <w:numFmt w:val="bullet"/>
      <w:suff w:val="tab"/>
      <w:lvlText w:val="•"/>
      <w:rPr>
        <w:color w:val="3370ff"/>
      </w:rPr>
    </w:lvl>
  </w:abstractNum>
  <w:abstractNum w:abstractNumId="880471">
    <w:lvl>
      <w:numFmt w:val="bullet"/>
      <w:suff w:val="tab"/>
      <w:lvlText w:val="•"/>
      <w:rPr>
        <w:color w:val="3370ff"/>
      </w:rPr>
    </w:lvl>
  </w:abstractNum>
  <w:abstractNum w:abstractNumId="880472">
    <w:lvl>
      <w:numFmt w:val="bullet"/>
      <w:suff w:val="tab"/>
      <w:lvlText w:val="•"/>
      <w:rPr>
        <w:color w:val="3370ff"/>
      </w:rPr>
    </w:lvl>
  </w:abstractNum>
  <w:abstractNum w:abstractNumId="880473">
    <w:lvl>
      <w:numFmt w:val="bullet"/>
      <w:suff w:val="tab"/>
      <w:lvlText w:val="•"/>
      <w:rPr>
        <w:color w:val="3370ff"/>
      </w:rPr>
    </w:lvl>
  </w:abstractNum>
  <w:abstractNum w:abstractNumId="880474">
    <w:lvl>
      <w:numFmt w:val="bullet"/>
      <w:suff w:val="tab"/>
      <w:lvlText w:val="•"/>
      <w:rPr>
        <w:color w:val="3370ff"/>
      </w:rPr>
    </w:lvl>
  </w:abstractNum>
  <w:abstractNum w:abstractNumId="880475">
    <w:lvl>
      <w:numFmt w:val="bullet"/>
      <w:suff w:val="tab"/>
      <w:lvlText w:val="•"/>
      <w:rPr>
        <w:color w:val="3370ff"/>
      </w:rPr>
    </w:lvl>
  </w:abstractNum>
  <w:abstractNum w:abstractNumId="880476">
    <w:lvl>
      <w:numFmt w:val="bullet"/>
      <w:suff w:val="tab"/>
      <w:lvlText w:val="•"/>
      <w:rPr>
        <w:color w:val="3370ff"/>
      </w:rPr>
    </w:lvl>
  </w:abstractNum>
  <w:abstractNum w:abstractNumId="880477">
    <w:lvl>
      <w:numFmt w:val="bullet"/>
      <w:suff w:val="space"/>
      <w:lvlText w:val="□"/>
    </w:lvl>
  </w:abstractNum>
  <w:abstractNum w:abstractNumId="880478">
    <w:lvl>
      <w:numFmt w:val="bullet"/>
      <w:suff w:val="space"/>
      <w:lvlText w:val="□"/>
    </w:lvl>
  </w:abstractNum>
  <w:abstractNum w:abstractNumId="880479">
    <w:lvl>
      <w:numFmt w:val="bullet"/>
      <w:suff w:val="space"/>
      <w:lvlText w:val="□"/>
    </w:lvl>
  </w:abstractNum>
  <w:abstractNum w:abstractNumId="880480">
    <w:lvl>
      <w:numFmt w:val="bullet"/>
      <w:suff w:val="space"/>
      <w:lvlText w:val="□"/>
    </w:lvl>
  </w:abstractNum>
  <w:abstractNum w:abstractNumId="880481">
    <w:lvl>
      <w:numFmt w:val="bullet"/>
      <w:suff w:val="tab"/>
      <w:lvlText w:val="•"/>
      <w:rPr>
        <w:color w:val="3370ff"/>
      </w:rPr>
    </w:lvl>
  </w:abstractNum>
  <w:abstractNum w:abstractNumId="880482">
    <w:lvl>
      <w:numFmt w:val="bullet"/>
      <w:suff w:val="tab"/>
      <w:lvlText w:val="•"/>
      <w:rPr>
        <w:color w:val="3370ff"/>
      </w:rPr>
    </w:lvl>
  </w:abstractNum>
  <w:abstractNum w:abstractNumId="880483">
    <w:lvl>
      <w:numFmt w:val="bullet"/>
      <w:suff w:val="tab"/>
      <w:lvlText w:val="•"/>
      <w:rPr>
        <w:color w:val="3370ff"/>
      </w:rPr>
    </w:lvl>
  </w:abstractNum>
  <w:abstractNum w:abstractNumId="880484">
    <w:lvl>
      <w:numFmt w:val="bullet"/>
      <w:suff w:val="tab"/>
      <w:lvlText w:val="•"/>
      <w:rPr>
        <w:color w:val="3370ff"/>
      </w:rPr>
    </w:lvl>
  </w:abstractNum>
  <w:abstractNum w:abstractNumId="880485">
    <w:lvl>
      <w:numFmt w:val="bullet"/>
      <w:suff w:val="tab"/>
      <w:lvlText w:val="•"/>
      <w:rPr>
        <w:color w:val="3370ff"/>
      </w:rPr>
    </w:lvl>
  </w:abstractNum>
  <w:abstractNum w:abstractNumId="880486">
    <w:lvl>
      <w:numFmt w:val="bullet"/>
      <w:suff w:val="tab"/>
      <w:lvlText w:val="•"/>
      <w:rPr>
        <w:color w:val="3370ff"/>
      </w:rPr>
    </w:lvl>
  </w:abstractNum>
  <w:abstractNum w:abstractNumId="880487">
    <w:lvl>
      <w:numFmt w:val="bullet"/>
      <w:suff w:val="tab"/>
      <w:lvlText w:val="•"/>
      <w:rPr>
        <w:color w:val="3370ff"/>
      </w:rPr>
    </w:lvl>
  </w:abstractNum>
  <w:abstractNum w:abstractNumId="880488">
    <w:lvl>
      <w:numFmt w:val="bullet"/>
      <w:suff w:val="space"/>
      <w:lvlText w:val="□"/>
    </w:lvl>
  </w:abstractNum>
  <w:abstractNum w:abstractNumId="880489">
    <w:lvl>
      <w:numFmt w:val="bullet"/>
      <w:suff w:val="space"/>
      <w:lvlText w:val="□"/>
    </w:lvl>
  </w:abstractNum>
  <w:abstractNum w:abstractNumId="880490">
    <w:lvl>
      <w:numFmt w:val="bullet"/>
      <w:suff w:val="space"/>
      <w:lvlText w:val="□"/>
    </w:lvl>
  </w:abstractNum>
  <w:abstractNum w:abstractNumId="880491">
    <w:lvl>
      <w:numFmt w:val="bullet"/>
      <w:suff w:val="space"/>
      <w:lvlText w:val="□"/>
    </w:lvl>
  </w:abstractNum>
  <w:abstractNum w:abstractNumId="880492">
    <w:lvl>
      <w:numFmt w:val="bullet"/>
      <w:suff w:val="tab"/>
      <w:lvlText w:val="•"/>
      <w:rPr>
        <w:color w:val="3370ff"/>
      </w:rPr>
    </w:lvl>
  </w:abstractNum>
  <w:abstractNum w:abstractNumId="880493">
    <w:lvl>
      <w:numFmt w:val="bullet"/>
      <w:suff w:val="tab"/>
      <w:lvlText w:val="•"/>
      <w:rPr>
        <w:color w:val="3370ff"/>
      </w:rPr>
    </w:lvl>
  </w:abstractNum>
  <w:abstractNum w:abstractNumId="880494">
    <w:lvl>
      <w:numFmt w:val="bullet"/>
      <w:suff w:val="tab"/>
      <w:lvlText w:val="•"/>
      <w:rPr>
        <w:color w:val="3370ff"/>
      </w:rPr>
    </w:lvl>
  </w:abstractNum>
  <w:abstractNum w:abstractNumId="880495">
    <w:lvl>
      <w:numFmt w:val="bullet"/>
      <w:suff w:val="tab"/>
      <w:lvlText w:val="•"/>
      <w:rPr>
        <w:color w:val="3370ff"/>
      </w:rPr>
    </w:lvl>
  </w:abstractNum>
  <w:abstractNum w:abstractNumId="880496">
    <w:lvl>
      <w:numFmt w:val="bullet"/>
      <w:suff w:val="tab"/>
      <w:lvlText w:val="•"/>
      <w:rPr>
        <w:color w:val="3370ff"/>
      </w:rPr>
    </w:lvl>
  </w:abstractNum>
  <w:abstractNum w:abstractNumId="880497">
    <w:lvl>
      <w:numFmt w:val="bullet"/>
      <w:suff w:val="tab"/>
      <w:lvlText w:val="•"/>
      <w:rPr>
        <w:color w:val="3370ff"/>
      </w:rPr>
    </w:lvl>
  </w:abstractNum>
  <w:abstractNum w:abstractNumId="880498">
    <w:lvl>
      <w:numFmt w:val="bullet"/>
      <w:suff w:val="tab"/>
      <w:lvlText w:val="•"/>
      <w:rPr>
        <w:color w:val="3370ff"/>
      </w:rPr>
    </w:lvl>
  </w:abstractNum>
  <w:abstractNum w:abstractNumId="880499">
    <w:lvl>
      <w:numFmt w:val="bullet"/>
      <w:suff w:val="tab"/>
      <w:lvlText w:val="•"/>
      <w:rPr>
        <w:color w:val="3370ff"/>
      </w:rPr>
    </w:lvl>
  </w:abstractNum>
  <w:abstractNum w:abstractNumId="880500">
    <w:lvl>
      <w:numFmt w:val="bullet"/>
      <w:suff w:val="tab"/>
      <w:lvlText w:val="•"/>
      <w:rPr>
        <w:color w:val="3370ff"/>
      </w:rPr>
    </w:lvl>
  </w:abstractNum>
  <w:abstractNum w:abstractNumId="880501">
    <w:lvl>
      <w:numFmt w:val="bullet"/>
      <w:suff w:val="tab"/>
      <w:lvlText w:val="•"/>
      <w:rPr>
        <w:color w:val="3370ff"/>
      </w:rPr>
    </w:lvl>
  </w:abstractNum>
  <w:abstractNum w:abstractNumId="880502">
    <w:lvl>
      <w:numFmt w:val="bullet"/>
      <w:suff w:val="space"/>
      <w:lvlText w:val="□"/>
    </w:lvl>
  </w:abstractNum>
  <w:abstractNum w:abstractNumId="880503">
    <w:lvl>
      <w:numFmt w:val="bullet"/>
      <w:suff w:val="space"/>
      <w:lvlText w:val="□"/>
    </w:lvl>
  </w:abstractNum>
  <w:abstractNum w:abstractNumId="880504">
    <w:lvl>
      <w:numFmt w:val="bullet"/>
      <w:suff w:val="space"/>
      <w:lvlText w:val="□"/>
    </w:lvl>
  </w:abstractNum>
  <w:num w:numId="1">
    <w:abstractNumId w:val="880430"/>
  </w:num>
  <w:num w:numId="2">
    <w:abstractNumId w:val="880431"/>
  </w:num>
  <w:num w:numId="3">
    <w:abstractNumId w:val="880432"/>
  </w:num>
  <w:num w:numId="4">
    <w:abstractNumId w:val="880433"/>
  </w:num>
  <w:num w:numId="5">
    <w:abstractNumId w:val="880434"/>
  </w:num>
  <w:num w:numId="6">
    <w:abstractNumId w:val="880435"/>
  </w:num>
  <w:num w:numId="7">
    <w:abstractNumId w:val="880436"/>
  </w:num>
  <w:num w:numId="8">
    <w:abstractNumId w:val="880437"/>
  </w:num>
  <w:num w:numId="9">
    <w:abstractNumId w:val="880438"/>
  </w:num>
  <w:num w:numId="10">
    <w:abstractNumId w:val="880439"/>
  </w:num>
  <w:num w:numId="11">
    <w:abstractNumId w:val="880440"/>
  </w:num>
  <w:num w:numId="12">
    <w:abstractNumId w:val="880441"/>
  </w:num>
  <w:num w:numId="13">
    <w:abstractNumId w:val="880442"/>
  </w:num>
  <w:num w:numId="14">
    <w:abstractNumId w:val="880443"/>
  </w:num>
  <w:num w:numId="15">
    <w:abstractNumId w:val="880444"/>
  </w:num>
  <w:num w:numId="16">
    <w:abstractNumId w:val="880445"/>
  </w:num>
  <w:num w:numId="17">
    <w:abstractNumId w:val="880446"/>
  </w:num>
  <w:num w:numId="18">
    <w:abstractNumId w:val="880447"/>
  </w:num>
  <w:num w:numId="19">
    <w:abstractNumId w:val="880448"/>
  </w:num>
  <w:num w:numId="20">
    <w:abstractNumId w:val="880449"/>
  </w:num>
  <w:num w:numId="21">
    <w:abstractNumId w:val="880450"/>
  </w:num>
  <w:num w:numId="22">
    <w:abstractNumId w:val="880451"/>
  </w:num>
  <w:num w:numId="23">
    <w:abstractNumId w:val="880452"/>
  </w:num>
  <w:num w:numId="24">
    <w:abstractNumId w:val="880453"/>
  </w:num>
  <w:num w:numId="25">
    <w:abstractNumId w:val="880454"/>
  </w:num>
  <w:num w:numId="26">
    <w:abstractNumId w:val="880455"/>
  </w:num>
  <w:num w:numId="27">
    <w:abstractNumId w:val="880456"/>
  </w:num>
  <w:num w:numId="28">
    <w:abstractNumId w:val="880457"/>
  </w:num>
  <w:num w:numId="29">
    <w:abstractNumId w:val="880458"/>
  </w:num>
  <w:num w:numId="30">
    <w:abstractNumId w:val="880459"/>
  </w:num>
  <w:num w:numId="31">
    <w:abstractNumId w:val="880460"/>
  </w:num>
  <w:num w:numId="32">
    <w:abstractNumId w:val="880461"/>
  </w:num>
  <w:num w:numId="33">
    <w:abstractNumId w:val="880462"/>
  </w:num>
  <w:num w:numId="34">
    <w:abstractNumId w:val="880463"/>
  </w:num>
  <w:num w:numId="35">
    <w:abstractNumId w:val="880464"/>
  </w:num>
  <w:num w:numId="36">
    <w:abstractNumId w:val="880465"/>
  </w:num>
  <w:num w:numId="37">
    <w:abstractNumId w:val="880466"/>
  </w:num>
  <w:num w:numId="38">
    <w:abstractNumId w:val="880467"/>
  </w:num>
  <w:num w:numId="39">
    <w:abstractNumId w:val="880468"/>
  </w:num>
  <w:num w:numId="40">
    <w:abstractNumId w:val="880469"/>
  </w:num>
  <w:num w:numId="41">
    <w:abstractNumId w:val="880470"/>
  </w:num>
  <w:num w:numId="42">
    <w:abstractNumId w:val="880471"/>
  </w:num>
  <w:num w:numId="43">
    <w:abstractNumId w:val="880472"/>
  </w:num>
  <w:num w:numId="44">
    <w:abstractNumId w:val="880473"/>
  </w:num>
  <w:num w:numId="45">
    <w:abstractNumId w:val="880474"/>
  </w:num>
  <w:num w:numId="46">
    <w:abstractNumId w:val="880475"/>
  </w:num>
  <w:num w:numId="47">
    <w:abstractNumId w:val="880476"/>
  </w:num>
  <w:num w:numId="48">
    <w:abstractNumId w:val="880477"/>
  </w:num>
  <w:num w:numId="49">
    <w:abstractNumId w:val="880478"/>
  </w:num>
  <w:num w:numId="50">
    <w:abstractNumId w:val="880479"/>
  </w:num>
  <w:num w:numId="51">
    <w:abstractNumId w:val="880480"/>
  </w:num>
  <w:num w:numId="52">
    <w:abstractNumId w:val="880481"/>
  </w:num>
  <w:num w:numId="53">
    <w:abstractNumId w:val="880482"/>
  </w:num>
  <w:num w:numId="54">
    <w:abstractNumId w:val="880483"/>
  </w:num>
  <w:num w:numId="55">
    <w:abstractNumId w:val="880484"/>
  </w:num>
  <w:num w:numId="56">
    <w:abstractNumId w:val="880485"/>
  </w:num>
  <w:num w:numId="57">
    <w:abstractNumId w:val="880486"/>
  </w:num>
  <w:num w:numId="58">
    <w:abstractNumId w:val="880487"/>
  </w:num>
  <w:num w:numId="59">
    <w:abstractNumId w:val="880488"/>
  </w:num>
  <w:num w:numId="60">
    <w:abstractNumId w:val="880489"/>
  </w:num>
  <w:num w:numId="61">
    <w:abstractNumId w:val="880490"/>
  </w:num>
  <w:num w:numId="62">
    <w:abstractNumId w:val="880491"/>
  </w:num>
  <w:num w:numId="63">
    <w:abstractNumId w:val="880492"/>
  </w:num>
  <w:num w:numId="64">
    <w:abstractNumId w:val="880493"/>
  </w:num>
  <w:num w:numId="65">
    <w:abstractNumId w:val="880494"/>
  </w:num>
  <w:num w:numId="66">
    <w:abstractNumId w:val="880495"/>
  </w:num>
  <w:num w:numId="67">
    <w:abstractNumId w:val="880496"/>
  </w:num>
  <w:num w:numId="68">
    <w:abstractNumId w:val="880497"/>
  </w:num>
  <w:num w:numId="69">
    <w:abstractNumId w:val="880498"/>
  </w:num>
  <w:num w:numId="70">
    <w:abstractNumId w:val="880499"/>
  </w:num>
  <w:num w:numId="71">
    <w:abstractNumId w:val="880500"/>
  </w:num>
  <w:num w:numId="72">
    <w:abstractNumId w:val="880501"/>
  </w:num>
  <w:num w:numId="73">
    <w:abstractNumId w:val="880502"/>
  </w:num>
  <w:num w:numId="74">
    <w:abstractNumId w:val="880503"/>
  </w:num>
  <w:num w:numId="75">
    <w:abstractNumId w:val="88050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2026-08-06T17:28:28Z</dcterms:created>
  <dc:creator>Apache POI</dc:creator>
</cp:coreProperties>
</file>