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MAIA × Fixguru — Scope Lock v1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Prepared by:</w:t>
      </w:r>
      <w:r>
        <w:rPr>
          <w:rFonts w:eastAsia="等线" w:ascii="Arial" w:cs="Arial" w:hAnsi="Arial"/>
          <w:sz w:val="22"/>
        </w:rPr>
        <w:t xml:space="preserve"> Mindhive (MAIA)</w:t>
        <w:br/>
      </w:r>
      <w:r>
        <w:rPr>
          <w:rFonts w:eastAsia="等线" w:ascii="Arial" w:cs="Arial" w:hAnsi="Arial"/>
          <w:b w:val="true"/>
          <w:sz w:val="22"/>
        </w:rPr>
        <w:t>Prepared for:</w:t>
      </w:r>
      <w:r>
        <w:rPr>
          <w:rFonts w:eastAsia="等线" w:ascii="Arial" w:cs="Arial" w:hAnsi="Arial"/>
          <w:sz w:val="22"/>
        </w:rPr>
        <w:t xml:space="preserve"> IAM Worldwide Sdn Bhd (Fixguru)</w:t>
        <w:br/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23 June 2026</w:t>
        <w:br/>
      </w:r>
      <w:r>
        <w:rPr>
          <w:rFonts w:eastAsia="等线" w:ascii="Arial" w:cs="Arial" w:hAnsi="Arial"/>
          <w:b w:val="true"/>
          <w:sz w:val="22"/>
        </w:rPr>
        <w:t>Stage:</w:t>
      </w:r>
      <w:r>
        <w:rPr>
          <w:rFonts w:eastAsia="等线" w:ascii="Arial" w:cs="Arial" w:hAnsi="Arial"/>
          <w:sz w:val="22"/>
        </w:rPr>
        <w:t xml:space="preserve"> UAT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What This Document Is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document confirms exactly what MAIA has built for Fixguru and what your team will be testing in UAT.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 is organised into three parts: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is included</w:t>
      </w:r>
      <w:r>
        <w:rPr>
          <w:rFonts w:eastAsia="等线" w:ascii="Arial" w:cs="Arial" w:hAnsi="Arial"/>
          <w:sz w:val="22"/>
        </w:rPr>
        <w:t xml:space="preserve"> — features and workflows confirmed for this UAT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is not included</w:t>
      </w:r>
      <w:r>
        <w:rPr>
          <w:rFonts w:eastAsia="等线" w:ascii="Arial" w:cs="Arial" w:hAnsi="Arial"/>
          <w:sz w:val="22"/>
        </w:rPr>
        <w:t xml:space="preserve"> — features explicitly outside scope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items</w:t>
      </w:r>
      <w:r>
        <w:rPr>
          <w:rFonts w:eastAsia="等线" w:ascii="Arial" w:cs="Arial" w:hAnsi="Arial"/>
          <w:sz w:val="22"/>
        </w:rPr>
        <w:t xml:space="preserve"> — things we need your confirmation on before or during UAT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Anything not listed here as "included" should not be expected during UAT. If something you expected to test is missing, raise it before UAT begins — not during.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Part 1 — What Is Included in UAT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A. WhatsApp Chatbot (Internal Sales Tool)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Your sales team will use a WhatsApp chatbot to manage the order-to-invoice process internally. This is for your </w:t>
      </w:r>
      <w:r>
        <w:rPr>
          <w:rFonts w:eastAsia="等线" w:ascii="Arial" w:cs="Arial" w:hAnsi="Arial"/>
          <w:b w:val="true"/>
          <w:sz w:val="22"/>
        </w:rPr>
        <w:t>team's internal use only</w:t>
      </w:r>
      <w:r>
        <w:rPr>
          <w:rFonts w:eastAsia="等线" w:ascii="Arial" w:cs="Arial" w:hAnsi="Arial"/>
          <w:sz w:val="22"/>
        </w:rPr>
        <w:t xml:space="preserve"> — it is not a customer-facing chatbot.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your team can do via chatbot: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675"/>
        <w:gridCol w:w="4605"/>
      </w:tblGrid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Capability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this means for your team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a Quotation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Tell the chatbot the customer name and items to quote. It drafts the document in MAIA.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a Sales Order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the quote becomes a Sales Order via chatbot.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Look up a customer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Search by customer name or phone number.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 historical pricing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Ask the chatbot what price and discount you last used for a customer + item combination.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Apply last transaction price or discount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can apply the last invoice price or discount % to the current document line.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Minimum price guardrail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If you try to price below the item's minimum, the chatbot will warn you before proceeding.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Add FOC (free-of-charge) items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Specify sold quantity and FOC quantity separately. The chatbot records both as separate lines.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Add delivery charge as a line item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Add a delivery charge (e.g. Lalamove) as an item line on the order — see note below.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 a customer's credit standing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Ask the chatbot for a customer's credit limit, outstanding balance, and available credit.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a Delivery Order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Instruct the chatbot to create a Delivery Order from an existing Sales Order.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 delivery as completed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 the delivery status once goods are handed over.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an Invoice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the invoice from the delivered Sales Order.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Record a payment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Record customer payment against a submitted invoice.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a Credit Note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Raise a credit note linked to a submitted invoice.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 chatbot language preference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 whether the chatbot replies in English or Bahasa Malaysia.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Note on delivery charge: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Your team needs to state the delivery method and charge amount in the same instruction, for example: 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"Create order for [Customer], items [X, Y], fulfillment method is Lalamove, delivery charge is RM10."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The charge amount must be stated explicitly — the chatbot will not add it automatically. We will walk through this during training.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B. Custom Box Quotation Calculator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calculator is embedded inside the Quotation and Sales Order in the MAIA web app.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Calculator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RSC Box Calculator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Included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Cut Box Calculator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Included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Pizza Box, Layer Pad, 5 Panel, others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Not included in this scope — see Part 2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How it works: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 a Quotation or Sales Order in MAIA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Launch the calculator from inside the document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Enter your box dimensions, board quality, quantity, and printing/transport settings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calculator produces the price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calculated item and price populate directly into the document line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C. AutoCount Integration (Two-Way Sync)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syncs with your AutoCount accounting system. AutoCount remains the master system for your customer records, item catalogue, and financial data.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syncs between MAIA and AutoCount: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120"/>
        <w:gridCol w:w="2310"/>
        <w:gridCol w:w="2850"/>
      </w:tblGrid>
      <w:tr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Document / Data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Direction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When</w:t>
            </w:r>
          </w:p>
        </w:tc>
      </w:tr>
      <w:tr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records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AutoCount → MAIA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 sync schedule</w:t>
            </w:r>
          </w:p>
        </w:tc>
      </w:tr>
      <w:tr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catalogue (SKU, UOM, price)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AutoCount → MAIA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 sync schedule</w:t>
            </w:r>
          </w:p>
        </w:tc>
      </w:tr>
      <w:tr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Quotation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→ AutoCount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 submission</w:t>
            </w:r>
          </w:p>
        </w:tc>
      </w:tr>
      <w:tr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Order / Proforma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→ AutoCount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 submission</w:t>
            </w:r>
          </w:p>
        </w:tc>
      </w:tr>
      <w:tr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Note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→ AutoCount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 issuance (immediate stock movement)</w:t>
            </w:r>
          </w:p>
        </w:tc>
      </w:tr>
      <w:tr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Invoice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→ AutoCount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 submission</w:t>
            </w:r>
          </w:p>
        </w:tc>
      </w:tr>
      <w:tr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Note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→ AutoCount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 submission</w:t>
            </w:r>
          </w:p>
        </w:tc>
      </w:tr>
      <w:tr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Receipt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↔ AutoCount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 submission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Important: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Item codes shown to your team in MAIA and the chatbot will use your AutoCount external SKU codes — not MAIA internal IDs.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D. Document PDF Handoff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generates PDFs for all key business documents. Your team can download or send these to customers.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920"/>
        <w:gridCol w:w="2610"/>
      </w:tblGrid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Document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 Available</w:t>
            </w:r>
          </w:p>
        </w:tc>
      </w:tr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Quotation (QTN)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Order / Proforma Invoice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Note (DN)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Invoice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Note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Receipt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E. Credit Limit Management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enforces credit limits using data from AutoCount.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Scenario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happens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approaches 80% of credit limit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 receives an alert notification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exceeds credit limit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Order creation is blocked or flagged for management approval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has outstanding payments nearing credit term end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 receives a reminder 10 days before the credit term expires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has overpaid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 is notified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F. Approval Workflows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requires management approval for specific scenarios: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075"/>
        <w:gridCol w:w="2205"/>
      </w:tblGrid>
      <w:tr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Scenario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Who approves</w:t>
            </w:r>
          </w:p>
        </w:tc>
      </w:tr>
      <w:tr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Selling price below item minimum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Management</w:t>
            </w:r>
          </w:p>
        </w:tc>
      </w:tr>
      <w:tr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approaching credit limit at time of Sales Order creation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Management</w:t>
            </w:r>
          </w:p>
        </w:tc>
      </w:tr>
      <w:tr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Note items differ from the original Sales Order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/ Management</w:t>
            </w:r>
          </w:p>
        </w:tc>
      </w:tr>
      <w:tr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Cash payment order — payment must be confirmed before Delivery Note is issued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/ Management</w:t>
            </w:r>
          </w:p>
        </w:tc>
      </w:tr>
      <w:tr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Outstanding payment from customer exceeds their credit term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Management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G. Stock Alerts and Notifications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Notification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Who receives it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 of stock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quantity reaches 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Configurable (Sales, Logistics, Management)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Low stock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reaches minimum quantity threshold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Configurable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restocked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New stock recorded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Configurable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status updates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Packing → Packed → Scheduled → Loading → Out for Delivery → Delivered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Assigned owner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Order not converted to Delivery Note within 7 days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DN created after 7 days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Assigned Sales Agent (user-specific)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inactivity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invoice in 30, 60, or 90 days (from last invoice date)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Assigned Sales Agent (user-specific)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Outstanding payment approaching credit term end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 days before end of credit term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Assigned Sales Agent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 copy reminder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Final invoice generated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Assigned Sales Agent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H. Role-Based Access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Five roles are configured for Fixguru: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60"/>
        <w:gridCol w:w="6120"/>
      </w:tblGrid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Access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Quotation, Sales Order creation and management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Warehousing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Note, Delivery Order, stock operations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 Manager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Invoice, Credit Note, Payment Receipt, approvals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 Assistant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Assigned finance records (limited submit rights)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Admin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access across sales, delivery, and finance workflows for UAT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Part 2 — What Is Not Included (Out of Scope)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following items are </w:t>
      </w:r>
      <w:r>
        <w:rPr>
          <w:rFonts w:eastAsia="等线" w:ascii="Arial" w:cs="Arial" w:hAnsi="Arial"/>
          <w:b w:val="true"/>
          <w:sz w:val="22"/>
        </w:rPr>
        <w:t>not</w:t>
      </w:r>
      <w:r>
        <w:rPr>
          <w:rFonts w:eastAsia="等线" w:ascii="Arial" w:cs="Arial" w:hAnsi="Arial"/>
          <w:sz w:val="22"/>
        </w:rPr>
        <w:t xml:space="preserve"> part of this build and will not be tested in UAT: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675"/>
        <w:gridCol w:w="4605"/>
      </w:tblGrid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Reason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Customer-facing chatbot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chatbot is for your internal team only. Customer-facing chat is outside scope.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Automated returns and refunds processing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Manual process; MAIA does not automate this flow.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Promo codes and seasonal campaign logic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scoped.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WhatsApp reply-context targeting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supported.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Additional calculators (Pizza Box, Layer Pad, 5 Panel, and others)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Only RSC and Die Cut are included in this scope. Additional calculators are a Change Request.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Shelf location tied to UoM (AutoCount custom field)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This is a non-standard AutoCount configuration. MAIA uses standard warehouse modelling. Shelf can appear as a note on the Delivery Note (see open items).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Branch contacts managed as separate entities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When we sync customers from AutoCount, branch details are stored as an </w:t>
            </w:r>
            <w:r>
              <w:rPr>
                <w:rFonts w:eastAsia="等线" w:ascii="Arial" w:cs="Arial" w:hAnsi="Arial"/>
                <w:b w:val="true"/>
                <w:sz w:val="22"/>
              </w:rPr>
              <w:t>address</w:t>
            </w:r>
            <w:r>
              <w:rPr>
                <w:rFonts w:eastAsia="等线" w:ascii="Arial" w:cs="Arial" w:hAnsi="Arial"/>
                <w:sz w:val="22"/>
              </w:rPr>
              <w:t xml:space="preserve"> under the main customer record — not as separate branch-contact entities.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Raw material to finished goods conversion planning (BOM)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This is a Change Request. See CR Scoping — Fixguru.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Historical AutoCount document migration (pre-go-live records)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This is a separate one-off migration — not part of UAT. See CR Scoping — Fixguru.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 RSC / Die Cut calculator formulas (new versions)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Updating the calculator formulas after the original build is a Change Request.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Part 3 — Open Items (Your Confirmation Needed)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These items need your answer before or during UAT. Where you see </w:t>
      </w:r>
      <w:r>
        <w:rPr>
          <w:rFonts w:eastAsia="等线" w:ascii="Arial" w:cs="Arial" w:hAnsi="Arial"/>
          <w:b w:val="true"/>
          <w:sz w:val="22"/>
        </w:rPr>
        <w:t>"Confirm:"</w:t>
      </w:r>
      <w:r>
        <w:rPr>
          <w:rFonts w:eastAsia="等线" w:ascii="Arial" w:cs="Arial" w:hAnsi="Arial"/>
          <w:sz w:val="22"/>
        </w:rPr>
        <w:t>, this is the exact question we need answered.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75"/>
        <w:gridCol w:w="3510"/>
        <w:gridCol w:w="3795"/>
      </w:tblGrid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Topic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with your team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Migration cut-off date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date do you want to use as the cut-off for historical records? From that date onward, all documents sync two-way between MAIA and AutoCount. Documents before that date will not be fully available in MAIA, except for agreed snapshot data (credit limit, outstanding balance, overdue amount).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Historical pricing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When the chatbot shows pricing history, should it show: the last invoice price, average price, quotation history, or all three? Should it always show standard list price, discount %, and net price together?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PDF templates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 you need the Fixguru/AutoCount-style PDF template before you submit a document, or only after submission?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Delivery charge as a line item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Please confirm the exact names of delivery SKUs your team uses (e.g. "3PL Lalamove"). Should the chatbot always add these as item lines rather than just selecting a delivery method?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Branch and delivery address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When one customer has multiple branches or delivery contacts, should MAIA ask your team to choose the branch before creating a Quotation or Sales Order?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Language support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 go-live, should the chatbot reply in English, Bahasa Malaysia, and Mandarin, or only English and BM? (Your team can message in Chinese — the question is whether you need Chinese replies too.)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Volume (m³) fields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Volumetric calculation is a Change Request. Do you want to confirm this CR before UAT, or defer it to after go-live?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Shelf number on Delivery Note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Should the item shelf number appear only in the Delivery Note additional notes field, or also on the picking list or other documents?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Additional calculators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Confirming: RSC and Die Cut are the only go-live calculators. Pizza Box, Layer Pad, and 5 Panel are Change Requests. Is this agreed?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What to Expect During UAT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UAT is structured as follows: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60"/>
        <w:gridCol w:w="2745"/>
        <w:gridCol w:w="3090"/>
      </w:tblGrid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Phase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Who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happens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 run-through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 (MAIA PM)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 runs all test cases first in the sandbox, records results, and confirms sandbox data is ready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 fix / clarification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team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Any issues found during Gareth's run-through are fixed or clarified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Fixguru retest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Your team (Yvonne / Marcus)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Your team retests the same cases using Gareth's notes as a guide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Sign-off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 + Fixguru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pass items, open issues, deferred items, and who owns what next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 environment:</w:t>
      </w:r>
      <w:r>
        <w:rPr>
          <w:rFonts w:eastAsia="等线" w:ascii="Arial" w:cs="Arial" w:hAnsi="Arial"/>
          <w:sz w:val="22"/>
        </w:rPr>
        <w:t xml:space="preserve"> UAT happens in the setup sandbox only. Do not test against your production AutoCount.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 results:</w:t>
      </w:r>
      <w:r>
        <w:rPr>
          <w:rFonts w:eastAsia="等线" w:ascii="Arial" w:cs="Arial" w:hAnsi="Arial"/>
          <w:sz w:val="22"/>
        </w:rPr>
        <w:t xml:space="preserve"> For each test case, your team records Pass / Fail / Issue / Deferred. If something fails, note the exact chatbot message, document reference, customer, item, and what you expected instead.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See Also</w:t>
      </w:r>
      <w:bookmarkEnd w:id="13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Fixguru SOW — Original signed scope of work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 Scoping — Fixguru — Change requests outside SOW scope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UAT Form - Fixguru - 2026-05 (Full) — Detailed UAT test cases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Scope Alignment - Delivery Method &amp; Out-of-Scope Items — Scope decisions from 2026-06-10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581">
    <w:lvl>
      <w:start w:val="1"/>
      <w:numFmt w:val="decimal"/>
      <w:suff w:val="tab"/>
      <w:lvlText w:val="%1."/>
      <w:rPr>
        <w:color w:val="3370ff"/>
      </w:rPr>
    </w:lvl>
  </w:abstractNum>
  <w:abstractNum w:abstractNumId="25582">
    <w:lvl>
      <w:start w:val="2"/>
      <w:numFmt w:val="decimal"/>
      <w:suff w:val="tab"/>
      <w:lvlText w:val="%1."/>
      <w:rPr>
        <w:color w:val="3370ff"/>
      </w:rPr>
    </w:lvl>
  </w:abstractNum>
  <w:abstractNum w:abstractNumId="25583">
    <w:lvl>
      <w:start w:val="3"/>
      <w:numFmt w:val="decimal"/>
      <w:suff w:val="tab"/>
      <w:lvlText w:val="%1."/>
      <w:rPr>
        <w:color w:val="3370ff"/>
      </w:rPr>
    </w:lvl>
  </w:abstractNum>
  <w:abstractNum w:abstractNumId="25584">
    <w:lvl>
      <w:start w:val="1"/>
      <w:numFmt w:val="decimal"/>
      <w:suff w:val="tab"/>
      <w:lvlText w:val="%1."/>
      <w:rPr>
        <w:color w:val="3370ff"/>
      </w:rPr>
    </w:lvl>
  </w:abstractNum>
  <w:abstractNum w:abstractNumId="25585">
    <w:lvl>
      <w:start w:val="2"/>
      <w:numFmt w:val="decimal"/>
      <w:suff w:val="tab"/>
      <w:lvlText w:val="%1."/>
      <w:rPr>
        <w:color w:val="3370ff"/>
      </w:rPr>
    </w:lvl>
  </w:abstractNum>
  <w:abstractNum w:abstractNumId="25586">
    <w:lvl>
      <w:start w:val="3"/>
      <w:numFmt w:val="decimal"/>
      <w:suff w:val="tab"/>
      <w:lvlText w:val="%1."/>
      <w:rPr>
        <w:color w:val="3370ff"/>
      </w:rPr>
    </w:lvl>
  </w:abstractNum>
  <w:abstractNum w:abstractNumId="25587">
    <w:lvl>
      <w:start w:val="4"/>
      <w:numFmt w:val="decimal"/>
      <w:suff w:val="tab"/>
      <w:lvlText w:val="%1."/>
      <w:rPr>
        <w:color w:val="3370ff"/>
      </w:rPr>
    </w:lvl>
  </w:abstractNum>
  <w:abstractNum w:abstractNumId="25588">
    <w:lvl>
      <w:start w:val="5"/>
      <w:numFmt w:val="decimal"/>
      <w:suff w:val="tab"/>
      <w:lvlText w:val="%1."/>
      <w:rPr>
        <w:color w:val="3370ff"/>
      </w:rPr>
    </w:lvl>
  </w:abstractNum>
  <w:abstractNum w:abstractNumId="25589">
    <w:lvl>
      <w:numFmt w:val="bullet"/>
      <w:suff w:val="tab"/>
      <w:lvlText w:val="•"/>
      <w:rPr>
        <w:color w:val="3370ff"/>
      </w:rPr>
    </w:lvl>
  </w:abstractNum>
  <w:abstractNum w:abstractNumId="25590">
    <w:lvl>
      <w:numFmt w:val="bullet"/>
      <w:suff w:val="tab"/>
      <w:lvlText w:val="•"/>
      <w:rPr>
        <w:color w:val="3370ff"/>
      </w:rPr>
    </w:lvl>
  </w:abstractNum>
  <w:abstractNum w:abstractNumId="25591">
    <w:lvl>
      <w:numFmt w:val="bullet"/>
      <w:suff w:val="tab"/>
      <w:lvlText w:val="•"/>
      <w:rPr>
        <w:color w:val="3370ff"/>
      </w:rPr>
    </w:lvl>
  </w:abstractNum>
  <w:abstractNum w:abstractNumId="25592">
    <w:lvl>
      <w:numFmt w:val="bullet"/>
      <w:suff w:val="tab"/>
      <w:lvlText w:val="•"/>
      <w:rPr>
        <w:color w:val="3370ff"/>
      </w:rPr>
    </w:lvl>
  </w:abstractNum>
  <w:num w:numId="1">
    <w:abstractNumId w:val="25581"/>
  </w:num>
  <w:num w:numId="2">
    <w:abstractNumId w:val="25582"/>
  </w:num>
  <w:num w:numId="3">
    <w:abstractNumId w:val="25583"/>
  </w:num>
  <w:num w:numId="4">
    <w:abstractNumId w:val="25584"/>
  </w:num>
  <w:num w:numId="5">
    <w:abstractNumId w:val="25585"/>
  </w:num>
  <w:num w:numId="6">
    <w:abstractNumId w:val="25586"/>
  </w:num>
  <w:num w:numId="7">
    <w:abstractNumId w:val="25587"/>
  </w:num>
  <w:num w:numId="8">
    <w:abstractNumId w:val="25588"/>
  </w:num>
  <w:num w:numId="9">
    <w:abstractNumId w:val="25589"/>
  </w:num>
  <w:num w:numId="10">
    <w:abstractNumId w:val="25590"/>
  </w:num>
  <w:num w:numId="11">
    <w:abstractNumId w:val="25591"/>
  </w:num>
  <w:num w:numId="12">
    <w:abstractNumId w:val="2559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2026-08-06T17:28:19Z</dcterms:created>
  <dc:creator>Apache POI</dc:creator>
</cp:coreProperties>
</file>