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19May26 - GST SAP Vendor</w:t>
      </w:r>
    </w:p>
    <w:p>
      <w:pPr>
        <w:pStyle w:val="1"/>
        <w:spacing w:before="380" w:after="140" w:line="288" w:lineRule="auto"/>
        <w:ind w:left="0"/>
        <w:jc w:val="left"/>
        <w:outlineLvl w:val="0"/>
      </w:pPr>
      <w:bookmarkStart w:name="heading_0" w:id="0"/>
      <w:r>
        <w:rPr>
          <w:rFonts w:eastAsia="等线" w:ascii="Arial" w:cs="Arial" w:hAnsi="Arial"/>
          <w:b w:val="true"/>
          <w:sz w:val="36"/>
        </w:rPr>
        <w:t>GST SAP Vendor × Mindhive — Meeting Notes</w:t>
      </w:r>
      <w:bookmarkEnd w:id="0"/>
    </w:p>
    <w:p>
      <w:pPr>
        <w:spacing w:before="120" w:after="120" w:line="288" w:lineRule="auto"/>
        <w:ind w:left="0"/>
        <w:jc w:val="left"/>
      </w:pPr>
      <w:r>
        <w:rPr>
          <w:rFonts w:eastAsia="等线" w:ascii="Arial" w:cs="Arial" w:hAnsi="Arial"/>
          <w:b w:val="true"/>
          <w:sz w:val="22"/>
        </w:rPr>
        <w:t>Date:</w:t>
      </w:r>
      <w:r>
        <w:rPr>
          <w:rFonts w:eastAsia="等线" w:ascii="Arial" w:cs="Arial" w:hAnsi="Arial"/>
          <w:sz w:val="22"/>
        </w:rPr>
        <w:t xml:space="preserve"> 2026-05-19</w:t>
        <w:br/>
      </w:r>
      <w:r>
        <w:rPr>
          <w:rFonts w:eastAsia="等线" w:ascii="Arial" w:cs="Arial" w:hAnsi="Arial"/>
          <w:b w:val="true"/>
          <w:sz w:val="22"/>
        </w:rPr>
        <w:t>Participants:</w:t>
      </w:r>
      <w:r>
        <w:rPr>
          <w:rFonts w:eastAsia="等线" w:ascii="Arial" w:cs="Arial" w:hAnsi="Arial"/>
          <w:sz w:val="22"/>
        </w:rPr>
        <w:t xml:space="preserve"> Jermaine (Mindhive CTO), Jun (GST), Sharon, Ling, Hasma</w:t>
        <w:br/>
      </w:r>
      <w:r>
        <w:rPr>
          <w:rFonts w:eastAsia="等线" w:ascii="Arial" w:cs="Arial" w:hAnsi="Arial"/>
          <w:b w:val="true"/>
          <w:sz w:val="22"/>
        </w:rPr>
        <w:t>Purpose:</w:t>
      </w:r>
      <w:r>
        <w:rPr>
          <w:rFonts w:eastAsia="等线" w:ascii="Arial" w:cs="Arial" w:hAnsi="Arial"/>
          <w:sz w:val="22"/>
        </w:rPr>
        <w:t xml:space="preserve"> Align on MAIA ↔ SAP B1 integration architecture and requirements for GST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Key Point A: Integration Architecture</w:t>
        <w:br/>
      </w:r>
      <w:bookmarkEnd w:id="1"/>
    </w:p>
    <w:p>
      <w:pPr>
        <w:spacing w:before="120" w:after="120" w:line="288" w:lineRule="auto"/>
        <w:ind w:left="0"/>
        <w:jc w:val="center"/>
      </w:pPr>
      <w:r>
        <w:drawing>
          <wp:inline distT="0" distR="0" distB="0" distL="0">
            <wp:extent cx="5257800" cy="38766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8766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MAIA → Middleware → GST SAP B1 via JWT</w:t>
      </w:r>
    </w:p>
    <w:p>
      <w:pPr>
        <w:spacing w:before="120" w:after="120" w:line="288" w:lineRule="auto"/>
        <w:ind w:left="0"/>
        <w:jc w:val="left"/>
      </w:pPr>
      <w:r>
        <w:rPr>
          <w:rFonts w:eastAsia="等线" w:ascii="Arial" w:cs="Arial" w:hAnsi="Arial"/>
          <w:sz w:val="22"/>
        </w:rPr>
        <w:t>MAIA connects to GST's SAP B1 through a middleware layer hosted on GST's client intranet (either standalone PC or within the SAP B1 server). Authentication between MAIA and middleware uses JWT. Two route groups are planned depending on whether standard service layer is sufficient.</w:t>
      </w:r>
    </w:p>
    <w:p>
      <w:pPr>
        <w:spacing w:before="120" w:after="120" w:line="288" w:lineRule="auto"/>
        <w:ind w:left="0"/>
        <w:jc w:val="left"/>
      </w:pPr>
      <w:r>
        <w:rPr>
          <w:rFonts w:eastAsia="等线" w:ascii="Arial" w:cs="Arial" w:hAnsi="Arial"/>
          <w:b w:val="true"/>
          <w:sz w:val="22"/>
        </w:rPr>
        <w:t>Main Point 1 — Architecture layers</w:t>
      </w:r>
    </w:p>
    <w:p>
      <w:pPr>
        <w:numPr>
          <w:numId w:val="1"/>
        </w:numPr>
        <w:spacing w:before="120" w:after="120" w:line="288" w:lineRule="auto"/>
        <w:ind w:left="0"/>
        <w:jc w:val="left"/>
      </w:pPr>
      <w:r>
        <w:rPr>
          <w:rFonts w:eastAsia="等线" w:ascii="Arial" w:cs="Arial" w:hAnsi="Arial"/>
          <w:sz w:val="22"/>
        </w:rPr>
        <w:t>MAIA sends data to Middleware (JWT-authenticated)</w:t>
      </w:r>
    </w:p>
    <w:p>
      <w:pPr>
        <w:numPr>
          <w:numId w:val="2"/>
        </w:numPr>
        <w:spacing w:before="120" w:after="120" w:line="288" w:lineRule="auto"/>
        <w:ind w:left="0"/>
        <w:jc w:val="left"/>
      </w:pPr>
      <w:r>
        <w:rPr>
          <w:rFonts w:eastAsia="等线" w:ascii="Arial" w:cs="Arial" w:hAnsi="Arial"/>
          <w:sz w:val="22"/>
        </w:rPr>
        <w:t>Middleware sits on client intranet — standalone PC or within SAP B1 server</w:t>
      </w:r>
    </w:p>
    <w:p>
      <w:pPr>
        <w:numPr>
          <w:numId w:val="3"/>
        </w:numPr>
        <w:spacing w:before="120" w:after="120" w:line="288" w:lineRule="auto"/>
        <w:ind w:left="0"/>
        <w:jc w:val="left"/>
      </w:pPr>
      <w:r>
        <w:rPr>
          <w:rFonts w:eastAsia="等线" w:ascii="Arial" w:cs="Arial" w:hAnsi="Arial"/>
          <w:sz w:val="22"/>
        </w:rPr>
        <w:t>Middleware forwards to GST SAP B1</w:t>
      </w:r>
    </w:p>
    <w:p>
      <w:pPr>
        <w:spacing w:before="120" w:after="120" w:line="288" w:lineRule="auto"/>
        <w:ind w:left="0"/>
        <w:jc w:val="left"/>
      </w:pPr>
      <w:r>
        <w:rPr>
          <w:rFonts w:eastAsia="等线" w:ascii="Arial" w:cs="Arial" w:hAnsi="Arial"/>
          <w:b w:val="true"/>
          <w:sz w:val="22"/>
        </w:rPr>
        <w:t>Main Point 2 — Two route groups</w:t>
      </w:r>
    </w:p>
    <w:p>
      <w:pPr>
        <w:numPr>
          <w:numId w:val="4"/>
        </w:numPr>
        <w:spacing w:before="120" w:after="120" w:line="288" w:lineRule="auto"/>
        <w:ind w:left="0"/>
        <w:jc w:val="left"/>
      </w:pPr>
      <w:r>
        <w:rPr>
          <w:rFonts w:eastAsia="等线" w:ascii="Arial" w:cs="Arial" w:hAnsi="Arial"/>
          <w:sz w:val="22"/>
        </w:rPr>
        <w:t>Route 1: SAP B1 standard service layer (use first, lower complexity)</w:t>
      </w:r>
    </w:p>
    <w:p>
      <w:pPr>
        <w:numPr>
          <w:numId w:val="5"/>
        </w:numPr>
        <w:spacing w:before="120" w:after="120" w:line="288" w:lineRule="auto"/>
        <w:ind w:left="0"/>
        <w:jc w:val="left"/>
      </w:pPr>
      <w:r>
        <w:rPr>
          <w:rFonts w:eastAsia="等线" w:ascii="Arial" w:cs="Arial" w:hAnsi="Arial"/>
          <w:sz w:val="22"/>
        </w:rPr>
        <w:t>Route 2: Custom endpoints using GST's JWT (for UDFs and custom fields)</w:t>
      </w:r>
    </w:p>
    <w:p>
      <w:pPr>
        <w:spacing w:before="120" w:after="120" w:line="288" w:lineRule="auto"/>
        <w:ind w:left="0"/>
        <w:jc w:val="left"/>
      </w:pPr>
      <w:r>
        <w:rPr>
          <w:rFonts w:eastAsia="等线" w:ascii="Arial" w:cs="Arial" w:hAnsi="Arial"/>
          <w:b w:val="true"/>
          <w:sz w:val="22"/>
        </w:rPr>
        <w:t>Main Point 3 — Open question</w:t>
      </w:r>
    </w:p>
    <w:p>
      <w:pPr>
        <w:numPr>
          <w:numId w:val="6"/>
        </w:numPr>
        <w:spacing w:before="120" w:after="120" w:line="288" w:lineRule="auto"/>
        <w:ind w:left="0"/>
        <w:jc w:val="left"/>
      </w:pPr>
      <w:r>
        <w:rPr>
          <w:rFonts w:eastAsia="等线" w:ascii="Arial" w:cs="Arial" w:hAnsi="Arial"/>
          <w:sz w:val="22"/>
        </w:rPr>
        <w:t>MAIA custom fields (</w:t>
      </w:r>
      <w:r>
        <w:rPr>
          <w:rFonts w:eastAsia="Consolas" w:ascii="Consolas" w:cs="Consolas" w:hAnsi="Consolas"/>
          <w:sz w:val="22"/>
          <w:shd w:fill="EFF0F1"/>
        </w:rPr>
        <w:t>Custom field: ??</w:t>
      </w:r>
      <w:r>
        <w:rPr>
          <w:rFonts w:eastAsia="等线" w:ascii="Arial" w:cs="Arial" w:hAnsi="Arial"/>
          <w:sz w:val="22"/>
        </w:rPr>
        <w:t>) still TBD — must be defined before dev starts</w:t>
      </w:r>
    </w:p>
    <w:p>
      <w:pPr>
        <w:numPr>
          <w:numId w:val="7"/>
        </w:numPr>
        <w:spacing w:before="120" w:after="120" w:line="288" w:lineRule="auto"/>
        <w:ind w:left="0"/>
        <w:jc w:val="left"/>
      </w:pPr>
      <w:r>
        <w:rPr>
          <w:rFonts w:eastAsia="等线" w:ascii="Arial" w:cs="Arial" w:hAnsi="Arial"/>
          <w:sz w:val="22"/>
        </w:rPr>
        <w:t>GST tech team confirmed capable of building custom endpoints if needed</w:t>
      </w:r>
    </w:p>
    <w:p>
      <w:pPr>
        <w:numPr>
          <w:numId w:val="8"/>
        </w:numPr>
        <w:spacing w:before="120" w:after="120" w:line="288" w:lineRule="auto"/>
        <w:ind w:left="0"/>
        <w:jc w:val="left"/>
      </w:pPr>
      <w:r>
        <w:rPr>
          <w:rFonts w:eastAsia="等线" w:ascii="Arial" w:cs="Arial" w:hAnsi="Arial"/>
          <w:sz w:val="22"/>
        </w:rPr>
        <w:t>Webhook from middleware also potentially possible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Key Point B: Custom Fields &amp; Endpoint Requirements</w:t>
      </w:r>
      <w:bookmarkEnd w:id="2"/>
    </w:p>
    <w:p>
      <w:pPr>
        <w:spacing w:before="120" w:after="120" w:line="288" w:lineRule="auto"/>
        <w:ind w:left="0"/>
        <w:jc w:val="left"/>
      </w:pPr>
      <w:r>
        <w:rPr>
          <w:rFonts w:eastAsia="等线" w:ascii="Arial" w:cs="Arial" w:hAnsi="Arial"/>
          <w:b w:val="true"/>
          <w:sz w:val="22"/>
        </w:rPr>
        <w:t>GST's SAP custom fields must be mapped before integration can begin</w:t>
      </w:r>
    </w:p>
    <w:p>
      <w:pPr>
        <w:spacing w:before="120" w:after="120" w:line="288" w:lineRule="auto"/>
        <w:ind w:left="0"/>
        <w:jc w:val="left"/>
      </w:pPr>
      <w:r>
        <w:rPr>
          <w:rFonts w:eastAsia="等线" w:ascii="Arial" w:cs="Arial" w:hAnsi="Arial"/>
          <w:sz w:val="22"/>
        </w:rPr>
        <w:t>GST uses customized fields in SAP B1 that fall outside MAIA's standard data model. The current service layer cannot pass these fields — new endpoints must be exposed by GST's IT team, and MAIA must provide a field mapping document.</w:t>
      </w:r>
    </w:p>
    <w:p>
      <w:pPr>
        <w:spacing w:before="120" w:after="120" w:line="288" w:lineRule="auto"/>
        <w:ind w:left="0"/>
        <w:jc w:val="left"/>
      </w:pPr>
      <w:r>
        <w:rPr>
          <w:rFonts w:eastAsia="等线" w:ascii="Arial" w:cs="Arial" w:hAnsi="Arial"/>
          <w:b w:val="true"/>
          <w:sz w:val="22"/>
        </w:rPr>
        <w:t>Main Point 1 — Custom field mapping</w:t>
      </w:r>
    </w:p>
    <w:p>
      <w:pPr>
        <w:numPr>
          <w:numId w:val="9"/>
        </w:numPr>
        <w:spacing w:before="120" w:after="120" w:line="288" w:lineRule="auto"/>
        <w:ind w:left="0"/>
        <w:jc w:val="left"/>
      </w:pPr>
      <w:r>
        <w:rPr>
          <w:rFonts w:eastAsia="等线" w:ascii="Arial" w:cs="Arial" w:hAnsi="Arial"/>
          <w:sz w:val="22"/>
        </w:rPr>
        <w:t>MAIA team must collect full list of GST's SAP custom/UDF fields during requirements gathering</w:t>
      </w:r>
    </w:p>
    <w:p>
      <w:pPr>
        <w:numPr>
          <w:numId w:val="10"/>
        </w:numPr>
        <w:spacing w:before="120" w:after="120" w:line="288" w:lineRule="auto"/>
        <w:ind w:left="0"/>
        <w:jc w:val="left"/>
      </w:pPr>
      <w:r>
        <w:rPr>
          <w:rFonts w:eastAsia="等线" w:ascii="Arial" w:cs="Arial" w:hAnsi="Arial"/>
          <w:sz w:val="22"/>
        </w:rPr>
        <w:t>Field mapping document required before any dev work starts</w:t>
      </w:r>
    </w:p>
    <w:p>
      <w:pPr>
        <w:numPr>
          <w:numId w:val="11"/>
        </w:numPr>
        <w:spacing w:before="120" w:after="120" w:line="288" w:lineRule="auto"/>
        <w:ind w:left="0"/>
        <w:jc w:val="left"/>
      </w:pPr>
      <w:r>
        <w:rPr>
          <w:rFonts w:eastAsia="等线" w:ascii="Arial" w:cs="Arial" w:hAnsi="Arial"/>
          <w:sz w:val="22"/>
        </w:rPr>
        <w:t>Coordination between MAIA and GST teams to align data flows</w:t>
      </w:r>
    </w:p>
    <w:p>
      <w:pPr>
        <w:spacing w:before="120" w:after="120" w:line="288" w:lineRule="auto"/>
        <w:ind w:left="0"/>
        <w:jc w:val="left"/>
      </w:pPr>
      <w:r>
        <w:rPr>
          <w:rFonts w:eastAsia="等线" w:ascii="Arial" w:cs="Arial" w:hAnsi="Arial"/>
          <w:b w:val="true"/>
          <w:sz w:val="22"/>
        </w:rPr>
        <w:t>Main Point 2 — Service layer limitations</w:t>
      </w:r>
    </w:p>
    <w:p>
      <w:pPr>
        <w:numPr>
          <w:numId w:val="12"/>
        </w:numPr>
        <w:spacing w:before="120" w:after="120" w:line="288" w:lineRule="auto"/>
        <w:ind w:left="0"/>
        <w:jc w:val="left"/>
      </w:pPr>
      <w:r>
        <w:rPr>
          <w:rFonts w:eastAsia="等线" w:ascii="Arial" w:cs="Arial" w:hAnsi="Arial"/>
          <w:sz w:val="22"/>
        </w:rPr>
        <w:t>Standard SAP B1 service layer cannot support all custom fields</w:t>
      </w:r>
    </w:p>
    <w:p>
      <w:pPr>
        <w:numPr>
          <w:numId w:val="13"/>
        </w:numPr>
        <w:spacing w:before="120" w:after="120" w:line="288" w:lineRule="auto"/>
        <w:ind w:left="0"/>
        <w:jc w:val="left"/>
      </w:pPr>
      <w:r>
        <w:rPr>
          <w:rFonts w:eastAsia="等线" w:ascii="Arial" w:cs="Arial" w:hAnsi="Arial"/>
          <w:sz w:val="22"/>
        </w:rPr>
        <w:t>GST IT must expose new/custom endpoints for those fields</w:t>
      </w:r>
    </w:p>
    <w:p>
      <w:pPr>
        <w:numPr>
          <w:numId w:val="14"/>
        </w:numPr>
        <w:spacing w:before="120" w:after="120" w:line="288" w:lineRule="auto"/>
        <w:ind w:left="0"/>
        <w:jc w:val="left"/>
      </w:pPr>
      <w:r>
        <w:rPr>
          <w:rFonts w:eastAsia="等线" w:ascii="Arial" w:cs="Arial" w:hAnsi="Arial"/>
          <w:sz w:val="22"/>
        </w:rPr>
        <w:t>Two-way data sync required — both sides must match at all times</w:t>
      </w:r>
    </w:p>
    <w:p>
      <w:pPr>
        <w:spacing w:before="120" w:after="120" w:line="288" w:lineRule="auto"/>
        <w:ind w:left="0"/>
        <w:jc w:val="left"/>
      </w:pPr>
      <w:r>
        <w:rPr>
          <w:rFonts w:eastAsia="等线" w:ascii="Arial" w:cs="Arial" w:hAnsi="Arial"/>
          <w:b w:val="true"/>
          <w:sz w:val="22"/>
        </w:rPr>
        <w:t>Main Point 3 — Middleware UDF gap</w:t>
      </w:r>
    </w:p>
    <w:p>
      <w:pPr>
        <w:numPr>
          <w:numId w:val="15"/>
        </w:numPr>
        <w:spacing w:before="120" w:after="120" w:line="288" w:lineRule="auto"/>
        <w:ind w:left="0"/>
        <w:jc w:val="left"/>
      </w:pPr>
      <w:r>
        <w:rPr>
          <w:rFonts w:eastAsia="等线" w:ascii="Arial" w:cs="Arial" w:hAnsi="Arial"/>
          <w:sz w:val="22"/>
        </w:rPr>
        <w:t>Middleware has UDFs; may need custom endpoints to expose them</w:t>
      </w:r>
    </w:p>
    <w:p>
      <w:pPr>
        <w:numPr>
          <w:numId w:val="16"/>
        </w:numPr>
        <w:spacing w:before="120" w:after="120" w:line="288" w:lineRule="auto"/>
        <w:ind w:left="0"/>
        <w:jc w:val="left"/>
      </w:pPr>
      <w:r>
        <w:rPr>
          <w:rFonts w:eastAsia="等线" w:ascii="Arial" w:cs="Arial" w:hAnsi="Arial"/>
          <w:sz w:val="22"/>
        </w:rPr>
        <w:t>Identified limitations will require updating GST custom UDFs to accommodate new elements</w:t>
      </w:r>
    </w:p>
    <w:p>
      <w:pPr>
        <w:numPr>
          <w:numId w:val="17"/>
        </w:numPr>
        <w:spacing w:before="120" w:after="120" w:line="288" w:lineRule="auto"/>
        <w:ind w:left="0"/>
        <w:jc w:val="left"/>
      </w:pPr>
      <w:r>
        <w:rPr>
          <w:rFonts w:eastAsia="等线" w:ascii="Arial" w:cs="Arial" w:hAnsi="Arial"/>
          <w:sz w:val="22"/>
        </w:rPr>
        <w:t>Sync between SAP modifications and middleware must maintain data integrity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Key Point C: Phased Integration Approach</w:t>
      </w:r>
      <w:bookmarkEnd w:id="3"/>
    </w:p>
    <w:p>
      <w:pPr>
        <w:spacing w:before="120" w:after="120" w:line="288" w:lineRule="auto"/>
        <w:ind w:left="0"/>
        <w:jc w:val="left"/>
      </w:pPr>
      <w:r>
        <w:rPr>
          <w:rFonts w:eastAsia="等线" w:ascii="Arial" w:cs="Arial" w:hAnsi="Arial"/>
          <w:b w:val="true"/>
          <w:sz w:val="22"/>
        </w:rPr>
        <w:t>Start with standard service layer; expand to custom endpoints only where needed</w:t>
      </w:r>
    </w:p>
    <w:p>
      <w:pPr>
        <w:spacing w:before="120" w:after="120" w:line="288" w:lineRule="auto"/>
        <w:ind w:left="0"/>
        <w:jc w:val="left"/>
      </w:pPr>
      <w:r>
        <w:rPr>
          <w:rFonts w:eastAsia="等线" w:ascii="Arial" w:cs="Arial" w:hAnsi="Arial"/>
          <w:sz w:val="22"/>
        </w:rPr>
        <w:t>Jermaine recommended a phased approach: validate what the existing SAP B1 service layer supports first, identify UDF and custom field gaps, then build custom endpoints only where the standard layer falls short.</w:t>
      </w:r>
    </w:p>
    <w:p>
      <w:pPr>
        <w:spacing w:before="120" w:after="120" w:line="288" w:lineRule="auto"/>
        <w:ind w:left="0"/>
        <w:jc w:val="left"/>
      </w:pPr>
      <w:r>
        <w:rPr>
          <w:rFonts w:eastAsia="等线" w:ascii="Arial" w:cs="Arial" w:hAnsi="Arial"/>
          <w:b w:val="true"/>
          <w:sz w:val="22"/>
        </w:rPr>
        <w:t>Main Point 1 — Phase 1: Standard service layer</w:t>
      </w:r>
    </w:p>
    <w:p>
      <w:pPr>
        <w:numPr>
          <w:numId w:val="18"/>
        </w:numPr>
        <w:spacing w:before="120" w:after="120" w:line="288" w:lineRule="auto"/>
        <w:ind w:left="0"/>
        <w:jc w:val="left"/>
      </w:pPr>
      <w:r>
        <w:rPr>
          <w:rFonts w:eastAsia="等线" w:ascii="Arial" w:cs="Arial" w:hAnsi="Arial"/>
          <w:sz w:val="22"/>
        </w:rPr>
        <w:t>Use current SAP B1 service layer capabilities to handle webhooks and initial data sync</w:t>
      </w:r>
    </w:p>
    <w:p>
      <w:pPr>
        <w:numPr>
          <w:numId w:val="19"/>
        </w:numPr>
        <w:spacing w:before="120" w:after="120" w:line="288" w:lineRule="auto"/>
        <w:ind w:left="0"/>
        <w:jc w:val="left"/>
      </w:pPr>
      <w:r>
        <w:rPr>
          <w:rFonts w:eastAsia="等线" w:ascii="Arial" w:cs="Arial" w:hAnsi="Arial"/>
          <w:sz w:val="22"/>
        </w:rPr>
        <w:t>Map all fields supportable by standard layer first</w:t>
      </w:r>
    </w:p>
    <w:p>
      <w:pPr>
        <w:numPr>
          <w:numId w:val="20"/>
        </w:numPr>
        <w:spacing w:before="120" w:after="120" w:line="288" w:lineRule="auto"/>
        <w:ind w:left="0"/>
        <w:jc w:val="left"/>
      </w:pPr>
      <w:r>
        <w:rPr>
          <w:rFonts w:eastAsia="等线" w:ascii="Arial" w:cs="Arial" w:hAnsi="Arial"/>
          <w:sz w:val="22"/>
        </w:rPr>
        <w:t>Document limitations before proceeding to custom work</w:t>
      </w:r>
    </w:p>
    <w:p>
      <w:pPr>
        <w:spacing w:before="120" w:after="120" w:line="288" w:lineRule="auto"/>
        <w:ind w:left="0"/>
        <w:jc w:val="left"/>
      </w:pPr>
      <w:r>
        <w:rPr>
          <w:rFonts w:eastAsia="等线" w:ascii="Arial" w:cs="Arial" w:hAnsi="Arial"/>
          <w:b w:val="true"/>
          <w:sz w:val="22"/>
        </w:rPr>
        <w:t>Main Point 2 — Phase 2: Custom endpoints</w:t>
      </w:r>
    </w:p>
    <w:p>
      <w:pPr>
        <w:numPr>
          <w:numId w:val="21"/>
        </w:numPr>
        <w:spacing w:before="120" w:after="120" w:line="288" w:lineRule="auto"/>
        <w:ind w:left="0"/>
        <w:jc w:val="left"/>
      </w:pPr>
      <w:r>
        <w:rPr>
          <w:rFonts w:eastAsia="等线" w:ascii="Arial" w:cs="Arial" w:hAnsi="Arial"/>
          <w:sz w:val="22"/>
        </w:rPr>
        <w:t>Build custom endpoints for fields not supported by service layer</w:t>
      </w:r>
    </w:p>
    <w:p>
      <w:pPr>
        <w:numPr>
          <w:numId w:val="22"/>
        </w:numPr>
        <w:spacing w:before="120" w:after="120" w:line="288" w:lineRule="auto"/>
        <w:ind w:left="0"/>
        <w:jc w:val="left"/>
      </w:pPr>
      <w:r>
        <w:rPr>
          <w:rFonts w:eastAsia="等线" w:ascii="Arial" w:cs="Arial" w:hAnsi="Arial"/>
          <w:sz w:val="22"/>
        </w:rPr>
        <w:t>GST JWT used for authentication on custom route</w:t>
      </w:r>
    </w:p>
    <w:p>
      <w:pPr>
        <w:numPr>
          <w:numId w:val="23"/>
        </w:numPr>
        <w:spacing w:before="120" w:after="120" w:line="288" w:lineRule="auto"/>
        <w:ind w:left="0"/>
        <w:jc w:val="left"/>
      </w:pPr>
      <w:r>
        <w:rPr>
          <w:rFonts w:eastAsia="等线" w:ascii="Arial" w:cs="Arial" w:hAnsi="Arial"/>
          <w:sz w:val="22"/>
        </w:rPr>
        <w:t>Webhook triggers on SAP events to be configured in middleware</w:t>
      </w:r>
    </w:p>
    <w:p>
      <w:pPr>
        <w:spacing w:before="120" w:after="120" w:line="288" w:lineRule="auto"/>
        <w:ind w:left="0"/>
        <w:jc w:val="left"/>
      </w:pPr>
      <w:r>
        <w:rPr>
          <w:rFonts w:eastAsia="等线" w:ascii="Arial" w:cs="Arial" w:hAnsi="Arial"/>
          <w:b w:val="true"/>
          <w:sz w:val="22"/>
        </w:rPr>
        <w:t>Main Point 3 — Dev environment setup</w:t>
      </w:r>
    </w:p>
    <w:p>
      <w:pPr>
        <w:numPr>
          <w:numId w:val="24"/>
        </w:numPr>
        <w:spacing w:before="120" w:after="120" w:line="288" w:lineRule="auto"/>
        <w:ind w:left="0"/>
        <w:jc w:val="left"/>
      </w:pPr>
      <w:r>
        <w:rPr>
          <w:rFonts w:eastAsia="等线" w:ascii="Arial" w:cs="Arial" w:hAnsi="Arial"/>
          <w:sz w:val="22"/>
        </w:rPr>
        <w:t>Create dev/UAT server mirroring GST production database</w:t>
      </w:r>
    </w:p>
    <w:p>
      <w:pPr>
        <w:numPr>
          <w:numId w:val="25"/>
        </w:numPr>
        <w:spacing w:before="120" w:after="120" w:line="288" w:lineRule="auto"/>
        <w:ind w:left="0"/>
        <w:jc w:val="left"/>
      </w:pPr>
      <w:r>
        <w:rPr>
          <w:rFonts w:eastAsia="等线" w:ascii="Arial" w:cs="Arial" w:hAnsi="Arial"/>
          <w:sz w:val="22"/>
        </w:rPr>
        <w:t>Mirror: customers, items, warehouse, tax types, discount types</w:t>
      </w:r>
    </w:p>
    <w:p>
      <w:pPr>
        <w:numPr>
          <w:numId w:val="26"/>
        </w:numPr>
        <w:spacing w:before="120" w:after="120" w:line="288" w:lineRule="auto"/>
        <w:ind w:left="0"/>
        <w:jc w:val="left"/>
      </w:pPr>
      <w:r>
        <w:rPr>
          <w:rFonts w:eastAsia="等线" w:ascii="Arial" w:cs="Arial" w:hAnsi="Arial"/>
          <w:sz w:val="22"/>
        </w:rPr>
        <w:t>Validate integration in UAT before any production deployment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Key Point D: Document Flow — SO → DO → Invoice</w:t>
      </w:r>
      <w:bookmarkEnd w:id="4"/>
    </w:p>
    <w:p>
      <w:pPr>
        <w:spacing w:before="120" w:after="120" w:line="288" w:lineRule="auto"/>
        <w:ind w:left="0"/>
        <w:jc w:val="left"/>
      </w:pPr>
      <w:r>
        <w:rPr>
          <w:rFonts w:eastAsia="等线" w:ascii="Arial" w:cs="Arial" w:hAnsi="Arial"/>
          <w:b w:val="true"/>
          <w:sz w:val="22"/>
        </w:rPr>
        <w:t>Delivery Order and Invoice are linked, share numbering, and go out together</w:t>
      </w:r>
    </w:p>
    <w:p>
      <w:pPr>
        <w:spacing w:before="120" w:after="120" w:line="288" w:lineRule="auto"/>
        <w:ind w:left="0"/>
        <w:jc w:val="left"/>
      </w:pPr>
      <w:r>
        <w:rPr>
          <w:rFonts w:eastAsia="等线" w:ascii="Arial" w:cs="Arial" w:hAnsi="Arial"/>
          <w:sz w:val="22"/>
        </w:rPr>
        <w:t>GST's order fulfilment flow: Sales Order → picking list → Delivery Order (DO) + Invoice dispatched together. DO and Invoice carry the same document number. DO is printed as triple carbon copy.</w:t>
      </w:r>
    </w:p>
    <w:p>
      <w:pPr>
        <w:spacing w:before="120" w:after="120" w:line="288" w:lineRule="auto"/>
        <w:ind w:left="0"/>
        <w:jc w:val="left"/>
      </w:pPr>
      <w:r>
        <w:rPr>
          <w:rFonts w:eastAsia="等线" w:ascii="Arial" w:cs="Arial" w:hAnsi="Arial"/>
          <w:b w:val="true"/>
          <w:sz w:val="22"/>
        </w:rPr>
        <w:t>Main Point 1 — Document numbering</w:t>
      </w:r>
    </w:p>
    <w:p>
      <w:pPr>
        <w:numPr>
          <w:numId w:val="27"/>
        </w:numPr>
        <w:spacing w:before="120" w:after="120" w:line="288" w:lineRule="auto"/>
        <w:ind w:left="0"/>
        <w:jc w:val="left"/>
      </w:pPr>
      <w:r>
        <w:rPr>
          <w:rFonts w:eastAsia="等线" w:ascii="Arial" w:cs="Arial" w:hAnsi="Arial"/>
          <w:sz w:val="22"/>
        </w:rPr>
        <w:t>DO and Invoice share same document number</w:t>
      </w:r>
    </w:p>
    <w:p>
      <w:pPr>
        <w:numPr>
          <w:numId w:val="28"/>
        </w:numPr>
        <w:spacing w:before="120" w:after="120" w:line="288" w:lineRule="auto"/>
        <w:ind w:left="0"/>
        <w:jc w:val="left"/>
      </w:pPr>
      <w:r>
        <w:rPr>
          <w:rFonts w:eastAsia="等线" w:ascii="Arial" w:cs="Arial" w:hAnsi="Arial"/>
          <w:sz w:val="22"/>
        </w:rPr>
        <w:t>Invoice template used; DO has different layout/title but follows invoice numbering</w:t>
      </w:r>
    </w:p>
    <w:p>
      <w:pPr>
        <w:numPr>
          <w:numId w:val="29"/>
        </w:numPr>
        <w:spacing w:before="120" w:after="120" w:line="288" w:lineRule="auto"/>
        <w:ind w:left="0"/>
        <w:jc w:val="left"/>
      </w:pPr>
      <w:r>
        <w:rPr>
          <w:rFonts w:eastAsia="等线" w:ascii="Arial" w:cs="Arial" w:hAnsi="Arial"/>
          <w:sz w:val="22"/>
        </w:rPr>
        <w:t>Multiple DOs can be created under one Sales Order</w:t>
      </w:r>
    </w:p>
    <w:p>
      <w:pPr>
        <w:spacing w:before="120" w:after="120" w:line="288" w:lineRule="auto"/>
        <w:ind w:left="0"/>
        <w:jc w:val="left"/>
      </w:pPr>
      <w:r>
        <w:rPr>
          <w:rFonts w:eastAsia="等线" w:ascii="Arial" w:cs="Arial" w:hAnsi="Arial"/>
          <w:b w:val="true"/>
          <w:sz w:val="22"/>
        </w:rPr>
        <w:t>Main Point 2 — Triple carbon copy</w:t>
      </w:r>
    </w:p>
    <w:p>
      <w:pPr>
        <w:numPr>
          <w:numId w:val="30"/>
        </w:numPr>
        <w:spacing w:before="120" w:after="120" w:line="288" w:lineRule="auto"/>
        <w:ind w:left="0"/>
        <w:jc w:val="left"/>
      </w:pPr>
      <w:r>
        <w:rPr>
          <w:rFonts w:eastAsia="等线" w:ascii="Arial" w:cs="Arial" w:hAnsi="Arial"/>
          <w:sz w:val="22"/>
        </w:rPr>
        <w:t>DO printed as 3 copies: white copy + customer copy + carbon copy</w:t>
      </w:r>
    </w:p>
    <w:p>
      <w:pPr>
        <w:numPr>
          <w:numId w:val="31"/>
        </w:numPr>
        <w:spacing w:before="120" w:after="120" w:line="288" w:lineRule="auto"/>
        <w:ind w:left="0"/>
        <w:jc w:val="left"/>
      </w:pPr>
      <w:r>
        <w:rPr>
          <w:rFonts w:eastAsia="等线" w:ascii="Arial" w:cs="Arial" w:hAnsi="Arial"/>
          <w:sz w:val="22"/>
        </w:rPr>
        <w:t>DO and Invoice dispatched together with delivery</w:t>
      </w:r>
    </w:p>
    <w:p>
      <w:pPr>
        <w:numPr>
          <w:numId w:val="32"/>
        </w:numPr>
        <w:spacing w:before="120" w:after="120" w:line="288" w:lineRule="auto"/>
        <w:ind w:left="0"/>
        <w:jc w:val="left"/>
      </w:pPr>
      <w:r>
        <w:rPr>
          <w:rFonts w:eastAsia="等线" w:ascii="Arial" w:cs="Arial" w:hAnsi="Arial"/>
          <w:sz w:val="22"/>
        </w:rPr>
        <w:t>Returning DO = carbon copy (confirmation of receipt)</w:t>
      </w:r>
    </w:p>
    <w:p>
      <w:pPr>
        <w:spacing w:before="120" w:after="120" w:line="288" w:lineRule="auto"/>
        <w:ind w:left="0"/>
        <w:jc w:val="left"/>
      </w:pPr>
      <w:r>
        <w:rPr>
          <w:rFonts w:eastAsia="等线" w:ascii="Arial" w:cs="Arial" w:hAnsi="Arial"/>
          <w:b w:val="true"/>
          <w:sz w:val="22"/>
        </w:rPr>
        <w:t>Main Point 3 — Picking list → dispatch flow</w:t>
      </w:r>
    </w:p>
    <w:p>
      <w:pPr>
        <w:numPr>
          <w:numId w:val="33"/>
        </w:numPr>
        <w:spacing w:before="120" w:after="120" w:line="288" w:lineRule="auto"/>
        <w:ind w:left="0"/>
        <w:jc w:val="left"/>
      </w:pPr>
      <w:r>
        <w:rPr>
          <w:rFonts w:eastAsia="等线" w:ascii="Arial" w:cs="Arial" w:hAnsi="Arial"/>
          <w:sz w:val="22"/>
        </w:rPr>
        <w:t>SO triggers picking list generation</w:t>
      </w:r>
    </w:p>
    <w:p>
      <w:pPr>
        <w:numPr>
          <w:numId w:val="34"/>
        </w:numPr>
        <w:spacing w:before="120" w:after="120" w:line="288" w:lineRule="auto"/>
        <w:ind w:left="0"/>
        <w:jc w:val="left"/>
      </w:pPr>
      <w:r>
        <w:rPr>
          <w:rFonts w:eastAsia="等线" w:ascii="Arial" w:cs="Arial" w:hAnsi="Arial"/>
          <w:sz w:val="22"/>
        </w:rPr>
        <w:t>Warehouse staff key in packing weight on picking list</w:t>
      </w:r>
    </w:p>
    <w:p>
      <w:pPr>
        <w:numPr>
          <w:numId w:val="35"/>
        </w:numPr>
        <w:spacing w:before="120" w:after="120" w:line="288" w:lineRule="auto"/>
        <w:ind w:left="0"/>
        <w:jc w:val="left"/>
      </w:pPr>
      <w:r>
        <w:rPr>
          <w:rFonts w:eastAsia="等线" w:ascii="Arial" w:cs="Arial" w:hAnsi="Arial"/>
          <w:sz w:val="22"/>
        </w:rPr>
        <w:t>DO only sent after weight confirmed</w:t>
      </w:r>
    </w:p>
    <w:p>
      <w:pPr>
        <w:numPr>
          <w:numId w:val="36"/>
        </w:numPr>
        <w:spacing w:before="120" w:after="120" w:line="288" w:lineRule="auto"/>
        <w:ind w:left="0"/>
        <w:jc w:val="left"/>
      </w:pPr>
      <w:r>
        <w:rPr>
          <w:rFonts w:eastAsia="等线" w:ascii="Arial" w:cs="Arial" w:hAnsi="Arial"/>
          <w:sz w:val="22"/>
        </w:rPr>
        <w:t>Inventory deducted at DO dispatch (not at SO creation)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Key Point E: Order Fulfilment &amp; Inventory Management</w:t>
      </w:r>
      <w:bookmarkEnd w:id="5"/>
    </w:p>
    <w:p>
      <w:pPr>
        <w:spacing w:before="120" w:after="120" w:line="288" w:lineRule="auto"/>
        <w:ind w:left="0"/>
        <w:jc w:val="left"/>
      </w:pPr>
      <w:r>
        <w:rPr>
          <w:rFonts w:eastAsia="等线" w:ascii="Arial" w:cs="Arial" w:hAnsi="Arial"/>
          <w:b w:val="true"/>
          <w:sz w:val="22"/>
        </w:rPr>
        <w:t>Warehouse packing data drives inventory deduction; SAP stock transformation handles raw-to-finished goods</w:t>
      </w:r>
    </w:p>
    <w:p>
      <w:pPr>
        <w:spacing w:before="120" w:after="120" w:line="288" w:lineRule="auto"/>
        <w:ind w:left="0"/>
        <w:jc w:val="left"/>
      </w:pPr>
      <w:r>
        <w:rPr>
          <w:rFonts w:eastAsia="等线" w:ascii="Arial" w:cs="Arial" w:hAnsi="Arial"/>
          <w:sz w:val="22"/>
        </w:rPr>
        <w:t>Inventory is deducted in real time based on actual packed weights recorded by warehouse staff. GST also has a custom SAP stock transformation feature that converts raw stock (e.g., whole fish) into finished goods (e.g., portioned by weight) — this must be mapped into the MAIA integration.</w:t>
      </w:r>
    </w:p>
    <w:p>
      <w:pPr>
        <w:spacing w:before="120" w:after="120" w:line="288" w:lineRule="auto"/>
        <w:ind w:left="0"/>
        <w:jc w:val="left"/>
      </w:pPr>
      <w:r>
        <w:rPr>
          <w:rFonts w:eastAsia="等线" w:ascii="Arial" w:cs="Arial" w:hAnsi="Arial"/>
          <w:b w:val="true"/>
          <w:sz w:val="22"/>
        </w:rPr>
        <w:t>Main Point 1 — Inventory deduction logic</w:t>
      </w:r>
    </w:p>
    <w:p>
      <w:pPr>
        <w:numPr>
          <w:numId w:val="37"/>
        </w:numPr>
        <w:spacing w:before="120" w:after="120" w:line="288" w:lineRule="auto"/>
        <w:ind w:left="0"/>
        <w:jc w:val="left"/>
      </w:pPr>
      <w:r>
        <w:rPr>
          <w:rFonts w:eastAsia="等线" w:ascii="Arial" w:cs="Arial" w:hAnsi="Arial"/>
          <w:sz w:val="22"/>
        </w:rPr>
        <w:t>Warehouse staff record weight during packing on picking list</w:t>
      </w:r>
    </w:p>
    <w:p>
      <w:pPr>
        <w:numPr>
          <w:numId w:val="38"/>
        </w:numPr>
        <w:spacing w:before="120" w:after="120" w:line="288" w:lineRule="auto"/>
        <w:ind w:left="0"/>
        <w:jc w:val="left"/>
      </w:pPr>
      <w:r>
        <w:rPr>
          <w:rFonts w:eastAsia="等线" w:ascii="Arial" w:cs="Arial" w:hAnsi="Arial"/>
          <w:sz w:val="22"/>
        </w:rPr>
        <w:t>Inventory deducted only when DO is sent (actual shipped qty)</w:t>
      </w:r>
    </w:p>
    <w:p>
      <w:pPr>
        <w:numPr>
          <w:numId w:val="39"/>
        </w:numPr>
        <w:spacing w:before="120" w:after="120" w:line="288" w:lineRule="auto"/>
        <w:ind w:left="0"/>
        <w:jc w:val="left"/>
      </w:pPr>
      <w:r>
        <w:rPr>
          <w:rFonts w:eastAsia="等线" w:ascii="Arial" w:cs="Arial" w:hAnsi="Arial"/>
          <w:sz w:val="22"/>
        </w:rPr>
        <w:t>Ensures inventory reflects real dispatched quantities, not ordered quantities</w:t>
      </w:r>
    </w:p>
    <w:p>
      <w:pPr>
        <w:spacing w:before="120" w:after="120" w:line="288" w:lineRule="auto"/>
        <w:ind w:left="0"/>
        <w:jc w:val="left"/>
      </w:pPr>
      <w:r>
        <w:rPr>
          <w:rFonts w:eastAsia="等线" w:ascii="Arial" w:cs="Arial" w:hAnsi="Arial"/>
          <w:b w:val="true"/>
          <w:sz w:val="22"/>
        </w:rPr>
        <w:t>Main Point 2 — Stock transformation (custom SAP feature)</w:t>
      </w:r>
    </w:p>
    <w:p>
      <w:pPr>
        <w:numPr>
          <w:numId w:val="40"/>
        </w:numPr>
        <w:spacing w:before="120" w:after="120" w:line="288" w:lineRule="auto"/>
        <w:ind w:left="0"/>
        <w:jc w:val="left"/>
      </w:pPr>
      <w:r>
        <w:rPr>
          <w:rFonts w:eastAsia="等线" w:ascii="Arial" w:cs="Arial" w:hAnsi="Arial"/>
          <w:sz w:val="22"/>
        </w:rPr>
        <w:t>Custom SAP feature: raw stock → finished good (1:1 transformation)</w:t>
      </w:r>
    </w:p>
    <w:p>
      <w:pPr>
        <w:numPr>
          <w:numId w:val="41"/>
        </w:numPr>
        <w:spacing w:before="120" w:after="120" w:line="288" w:lineRule="auto"/>
        <w:ind w:left="0"/>
        <w:jc w:val="left"/>
      </w:pPr>
      <w:r>
        <w:rPr>
          <w:rFonts w:eastAsia="等线" w:ascii="Arial" w:cs="Arial" w:hAnsi="Arial"/>
          <w:sz w:val="22"/>
        </w:rPr>
        <w:t>Example: whole salmon → portioned salmon by weight</w:t>
      </w:r>
    </w:p>
    <w:p>
      <w:pPr>
        <w:numPr>
          <w:numId w:val="42"/>
        </w:numPr>
        <w:spacing w:before="120" w:after="120" w:line="288" w:lineRule="auto"/>
        <w:ind w:left="0"/>
        <w:jc w:val="left"/>
      </w:pPr>
      <w:r>
        <w:rPr>
          <w:rFonts w:eastAsia="等线" w:ascii="Arial" w:cs="Arial" w:hAnsi="Arial"/>
          <w:sz w:val="22"/>
        </w:rPr>
        <w:t>Transformation triggered on customer order (SO creation)</w:t>
      </w:r>
    </w:p>
    <w:p>
      <w:pPr>
        <w:numPr>
          <w:numId w:val="43"/>
        </w:numPr>
        <w:spacing w:before="120" w:after="120" w:line="288" w:lineRule="auto"/>
        <w:ind w:left="0"/>
        <w:jc w:val="left"/>
      </w:pPr>
      <w:r>
        <w:rPr>
          <w:rFonts w:eastAsia="等线" w:ascii="Arial" w:cs="Arial" w:hAnsi="Arial"/>
          <w:sz w:val="22"/>
        </w:rPr>
        <w:t>MAIA must reflect transformed item on SO/DO/Invoice</w:t>
      </w:r>
    </w:p>
    <w:p>
      <w:pPr>
        <w:numPr>
          <w:numId w:val="44"/>
        </w:numPr>
        <w:spacing w:before="120" w:after="120" w:line="288" w:lineRule="auto"/>
        <w:ind w:left="0"/>
        <w:jc w:val="left"/>
      </w:pPr>
      <w:r>
        <w:rPr>
          <w:rFonts w:eastAsia="等线" w:ascii="Arial" w:cs="Arial" w:hAnsi="Arial"/>
          <w:sz w:val="22"/>
        </w:rPr>
        <w:t>Inventory must track both raw and finished good stock</w:t>
      </w:r>
    </w:p>
    <w:p>
      <w:pPr>
        <w:spacing w:before="120" w:after="120" w:line="288" w:lineRule="auto"/>
        <w:ind w:left="0"/>
        <w:jc w:val="left"/>
      </w:pPr>
      <w:r>
        <w:rPr>
          <w:rFonts w:eastAsia="等线" w:ascii="Arial" w:cs="Arial" w:hAnsi="Arial"/>
          <w:b w:val="true"/>
          <w:sz w:val="22"/>
        </w:rPr>
        <w:t>Main Point 3 — Customer ordering channels</w:t>
      </w:r>
    </w:p>
    <w:p>
      <w:pPr>
        <w:numPr>
          <w:numId w:val="45"/>
        </w:numPr>
        <w:spacing w:before="120" w:after="120" w:line="288" w:lineRule="auto"/>
        <w:ind w:left="0"/>
        <w:jc w:val="left"/>
      </w:pPr>
      <w:r>
        <w:rPr>
          <w:rFonts w:eastAsia="等线" w:ascii="Arial" w:cs="Arial" w:hAnsi="Arial"/>
          <w:sz w:val="22"/>
        </w:rPr>
        <w:t>Orders received via WhatsApp, email, verbal (hotel accounts)</w:t>
      </w:r>
    </w:p>
    <w:p>
      <w:pPr>
        <w:numPr>
          <w:numId w:val="46"/>
        </w:numPr>
        <w:spacing w:before="120" w:after="120" w:line="288" w:lineRule="auto"/>
        <w:ind w:left="0"/>
        <w:jc w:val="left"/>
      </w:pPr>
      <w:r>
        <w:rPr>
          <w:rFonts w:eastAsia="等线" w:ascii="Arial" w:cs="Arial" w:hAnsi="Arial"/>
          <w:sz w:val="22"/>
        </w:rPr>
        <w:t>No formal PO at order placement for some customers</w:t>
      </w:r>
    </w:p>
    <w:p>
      <w:pPr>
        <w:numPr>
          <w:numId w:val="47"/>
        </w:numPr>
        <w:spacing w:before="120" w:after="120" w:line="288" w:lineRule="auto"/>
        <w:ind w:left="0"/>
        <w:jc w:val="left"/>
      </w:pPr>
      <w:r>
        <w:rPr>
          <w:rFonts w:eastAsia="等线" w:ascii="Arial" w:cs="Arial" w:hAnsi="Arial"/>
          <w:sz w:val="22"/>
        </w:rPr>
        <w:t>PO still required for payment reconciliation — must be collected before or shortly after order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Key Point F: Payment &amp; Return Note Handling</w:t>
      </w:r>
      <w:bookmarkEnd w:id="6"/>
    </w:p>
    <w:p>
      <w:pPr>
        <w:spacing w:before="120" w:after="120" w:line="288" w:lineRule="auto"/>
        <w:ind w:left="0"/>
        <w:jc w:val="left"/>
      </w:pPr>
      <w:r>
        <w:rPr>
          <w:rFonts w:eastAsia="等线" w:ascii="Arial" w:cs="Arial" w:hAnsi="Arial"/>
          <w:b w:val="true"/>
          <w:sz w:val="22"/>
        </w:rPr>
        <w:t>Multiple invoices per payment entry supported; return notes and refunds must link accurately</w:t>
      </w:r>
    </w:p>
    <w:p>
      <w:pPr>
        <w:spacing w:before="120" w:after="120" w:line="288" w:lineRule="auto"/>
        <w:ind w:left="0"/>
        <w:jc w:val="left"/>
      </w:pPr>
      <w:r>
        <w:rPr>
          <w:rFonts w:eastAsia="等线" w:ascii="Arial" w:cs="Arial" w:hAnsi="Arial"/>
          <w:sz w:val="22"/>
        </w:rPr>
        <w:t>GST's payment flows are complex — single payments can cover multiple invoices, partial knock-offs are supported, and return notes/refunds must be linked back to the correct invoice records.</w:t>
      </w:r>
    </w:p>
    <w:p>
      <w:pPr>
        <w:spacing w:before="120" w:after="120" w:line="288" w:lineRule="auto"/>
        <w:ind w:left="0"/>
        <w:jc w:val="left"/>
      </w:pPr>
      <w:r>
        <w:rPr>
          <w:rFonts w:eastAsia="等线" w:ascii="Arial" w:cs="Arial" w:hAnsi="Arial"/>
          <w:b w:val="true"/>
          <w:sz w:val="22"/>
        </w:rPr>
        <w:t>Main Point 1 — Payment entries</w:t>
      </w:r>
    </w:p>
    <w:p>
      <w:pPr>
        <w:numPr>
          <w:numId w:val="48"/>
        </w:numPr>
        <w:spacing w:before="120" w:after="120" w:line="288" w:lineRule="auto"/>
        <w:ind w:left="0"/>
        <w:jc w:val="left"/>
      </w:pPr>
      <w:r>
        <w:rPr>
          <w:rFonts w:eastAsia="等线" w:ascii="Arial" w:cs="Arial" w:hAnsi="Arial"/>
          <w:sz w:val="22"/>
        </w:rPr>
        <w:t>System supports payment entries across multiple invoices</w:t>
      </w:r>
    </w:p>
    <w:p>
      <w:pPr>
        <w:numPr>
          <w:numId w:val="49"/>
        </w:numPr>
        <w:spacing w:before="120" w:after="120" w:line="288" w:lineRule="auto"/>
        <w:ind w:left="0"/>
        <w:jc w:val="left"/>
      </w:pPr>
      <w:r>
        <w:rPr>
          <w:rFonts w:eastAsia="等线" w:ascii="Arial" w:cs="Arial" w:hAnsi="Arial"/>
          <w:sz w:val="22"/>
        </w:rPr>
        <w:t>Partial knock-off (partial payment against invoice) confirmed supported</w:t>
      </w:r>
    </w:p>
    <w:p>
      <w:pPr>
        <w:numPr>
          <w:numId w:val="50"/>
        </w:numPr>
        <w:spacing w:before="120" w:after="120" w:line="288" w:lineRule="auto"/>
        <w:ind w:left="0"/>
        <w:jc w:val="left"/>
      </w:pPr>
      <w:r>
        <w:rPr>
          <w:rFonts w:eastAsia="等线" w:ascii="Arial" w:cs="Arial" w:hAnsi="Arial"/>
          <w:sz w:val="22"/>
        </w:rPr>
        <w:t>Return notes must be carefully linked to correct invoices</w:t>
      </w:r>
    </w:p>
    <w:p>
      <w:pPr>
        <w:spacing w:before="120" w:after="120" w:line="288" w:lineRule="auto"/>
        <w:ind w:left="0"/>
        <w:jc w:val="left"/>
      </w:pPr>
      <w:r>
        <w:rPr>
          <w:rFonts w:eastAsia="等线" w:ascii="Arial" w:cs="Arial" w:hAnsi="Arial"/>
          <w:b w:val="true"/>
          <w:sz w:val="22"/>
        </w:rPr>
        <w:t>Main Point 2 — Refund handling</w:t>
      </w:r>
    </w:p>
    <w:p>
      <w:pPr>
        <w:numPr>
          <w:numId w:val="51"/>
        </w:numPr>
        <w:spacing w:before="120" w:after="120" w:line="288" w:lineRule="auto"/>
        <w:ind w:left="0"/>
        <w:jc w:val="left"/>
      </w:pPr>
      <w:r>
        <w:rPr>
          <w:rFonts w:eastAsia="等线" w:ascii="Arial" w:cs="Arial" w:hAnsi="Arial"/>
          <w:sz w:val="22"/>
        </w:rPr>
        <w:t>Refunds processed via payment entry after return note created</w:t>
      </w:r>
    </w:p>
    <w:p>
      <w:pPr>
        <w:numPr>
          <w:numId w:val="52"/>
        </w:numPr>
        <w:spacing w:before="120" w:after="120" w:line="288" w:lineRule="auto"/>
        <w:ind w:left="0"/>
        <w:jc w:val="left"/>
      </w:pPr>
      <w:r>
        <w:rPr>
          <w:rFonts w:eastAsia="等线" w:ascii="Arial" w:cs="Arial" w:hAnsi="Arial"/>
          <w:sz w:val="22"/>
        </w:rPr>
        <w:t>Return notes and refunds integrated to maintain accurate financial and inventory records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Key Point G: SAP UAT Environment &amp; Testing</w:t>
      </w:r>
      <w:bookmarkEnd w:id="7"/>
    </w:p>
    <w:p>
      <w:pPr>
        <w:spacing w:before="120" w:after="120" w:line="288" w:lineRule="auto"/>
        <w:ind w:left="0"/>
        <w:jc w:val="left"/>
      </w:pPr>
      <w:r>
        <w:rPr>
          <w:rFonts w:eastAsia="等线" w:ascii="Arial" w:cs="Arial" w:hAnsi="Arial"/>
          <w:b w:val="true"/>
          <w:sz w:val="22"/>
        </w:rPr>
        <w:t>Access to SAP UAT instance with production-mirrored data is the critical next step</w:t>
      </w:r>
    </w:p>
    <w:p>
      <w:pPr>
        <w:spacing w:before="120" w:after="120" w:line="288" w:lineRule="auto"/>
        <w:ind w:left="0"/>
        <w:jc w:val="left"/>
      </w:pPr>
      <w:r>
        <w:rPr>
          <w:rFonts w:eastAsia="等线" w:ascii="Arial" w:cs="Arial" w:hAnsi="Arial"/>
          <w:sz w:val="22"/>
        </w:rPr>
        <w:t>Integration testing cannot begin without a dedicated UAT environment. GST's IT team must provision SAP UAT instance access for MAIA. Testing scope covers stock receiving, item production, and manufacturing report generation.</w:t>
      </w:r>
    </w:p>
    <w:p>
      <w:pPr>
        <w:spacing w:before="120" w:after="120" w:line="288" w:lineRule="auto"/>
        <w:ind w:left="0"/>
        <w:jc w:val="left"/>
      </w:pPr>
      <w:r>
        <w:rPr>
          <w:rFonts w:eastAsia="等线" w:ascii="Arial" w:cs="Arial" w:hAnsi="Arial"/>
          <w:b w:val="true"/>
          <w:sz w:val="22"/>
        </w:rPr>
        <w:t>Main Point 1 — UAT environment requirements</w:t>
      </w:r>
    </w:p>
    <w:p>
      <w:pPr>
        <w:numPr>
          <w:numId w:val="53"/>
        </w:numPr>
        <w:spacing w:before="120" w:after="120" w:line="288" w:lineRule="auto"/>
        <w:ind w:left="0"/>
        <w:jc w:val="left"/>
      </w:pPr>
      <w:r>
        <w:rPr>
          <w:rFonts w:eastAsia="等线" w:ascii="Arial" w:cs="Arial" w:hAnsi="Arial"/>
          <w:sz w:val="22"/>
        </w:rPr>
        <w:t>MAIA team needs access to SAP UAT instance including data logs</w:t>
      </w:r>
    </w:p>
    <w:p>
      <w:pPr>
        <w:numPr>
          <w:numId w:val="54"/>
        </w:numPr>
        <w:spacing w:before="120" w:after="120" w:line="288" w:lineRule="auto"/>
        <w:ind w:left="0"/>
        <w:jc w:val="left"/>
      </w:pPr>
      <w:r>
        <w:rPr>
          <w:rFonts w:eastAsia="等线" w:ascii="Arial" w:cs="Arial" w:hAnsi="Arial"/>
          <w:sz w:val="22"/>
        </w:rPr>
        <w:t>Data must mirror production: customers, items, warehouse, tax types, discount types</w:t>
      </w:r>
    </w:p>
    <w:p>
      <w:pPr>
        <w:numPr>
          <w:numId w:val="55"/>
        </w:numPr>
        <w:spacing w:before="120" w:after="120" w:line="288" w:lineRule="auto"/>
        <w:ind w:left="0"/>
        <w:jc w:val="left"/>
      </w:pPr>
      <w:r>
        <w:rPr>
          <w:rFonts w:eastAsia="等线" w:ascii="Arial" w:cs="Arial" w:hAnsi="Arial"/>
          <w:sz w:val="22"/>
        </w:rPr>
        <w:t>GST IT team to provision access — flagged as dependency</w:t>
      </w:r>
    </w:p>
    <w:p>
      <w:pPr>
        <w:spacing w:before="120" w:after="120" w:line="288" w:lineRule="auto"/>
        <w:ind w:left="0"/>
        <w:jc w:val="left"/>
      </w:pPr>
      <w:r>
        <w:rPr>
          <w:rFonts w:eastAsia="等线" w:ascii="Arial" w:cs="Arial" w:hAnsi="Arial"/>
          <w:b w:val="true"/>
          <w:sz w:val="22"/>
        </w:rPr>
        <w:t>Main Point 2 — Testing scope</w:t>
      </w:r>
    </w:p>
    <w:p>
      <w:pPr>
        <w:numPr>
          <w:numId w:val="56"/>
        </w:numPr>
        <w:spacing w:before="120" w:after="120" w:line="288" w:lineRule="auto"/>
        <w:ind w:left="0"/>
        <w:jc w:val="left"/>
      </w:pPr>
      <w:r>
        <w:rPr>
          <w:rFonts w:eastAsia="等线" w:ascii="Arial" w:cs="Arial" w:hAnsi="Arial"/>
          <w:sz w:val="22"/>
        </w:rPr>
        <w:t>Stock receiving and item production flows</w:t>
      </w:r>
    </w:p>
    <w:p>
      <w:pPr>
        <w:numPr>
          <w:numId w:val="57"/>
        </w:numPr>
        <w:spacing w:before="120" w:after="120" w:line="288" w:lineRule="auto"/>
        <w:ind w:left="0"/>
        <w:jc w:val="left"/>
      </w:pPr>
      <w:r>
        <w:rPr>
          <w:rFonts w:eastAsia="等线" w:ascii="Arial" w:cs="Arial" w:hAnsi="Arial"/>
          <w:sz w:val="22"/>
        </w:rPr>
        <w:t>Manufacturing report generation</w:t>
      </w:r>
    </w:p>
    <w:p>
      <w:pPr>
        <w:numPr>
          <w:numId w:val="58"/>
        </w:numPr>
        <w:spacing w:before="120" w:after="120" w:line="288" w:lineRule="auto"/>
        <w:ind w:left="0"/>
        <w:jc w:val="left"/>
      </w:pPr>
      <w:r>
        <w:rPr>
          <w:rFonts w:eastAsia="等线" w:ascii="Arial" w:cs="Arial" w:hAnsi="Arial"/>
          <w:sz w:val="22"/>
        </w:rPr>
        <w:t>SAP signal-based triggers and MRP manufacturing process evaluation</w:t>
      </w:r>
    </w:p>
    <w:p>
      <w:pPr>
        <w:numPr>
          <w:numId w:val="59"/>
        </w:numPr>
        <w:spacing w:before="120" w:after="120" w:line="288" w:lineRule="auto"/>
        <w:ind w:left="0"/>
        <w:jc w:val="left"/>
      </w:pPr>
      <w:r>
        <w:rPr>
          <w:rFonts w:eastAsia="等线" w:ascii="Arial" w:cs="Arial" w:hAnsi="Arial"/>
          <w:sz w:val="22"/>
        </w:rPr>
        <w:t>Minimum stock level monitoring (1000kg threshold referenced)</w:t>
      </w:r>
    </w:p>
    <w:p>
      <w:pPr>
        <w:spacing w:before="120" w:after="120" w:line="288" w:lineRule="auto"/>
        <w:ind w:left="0"/>
        <w:jc w:val="left"/>
      </w:pPr>
      <w:r>
        <w:rPr>
          <w:rFonts w:eastAsia="等线" w:ascii="Arial" w:cs="Arial" w:hAnsi="Arial"/>
          <w:b w:val="true"/>
          <w:sz w:val="22"/>
        </w:rPr>
        <w:t>Main Point 3 — Security constraints</w:t>
      </w:r>
    </w:p>
    <w:p>
      <w:pPr>
        <w:numPr>
          <w:numId w:val="60"/>
        </w:numPr>
        <w:spacing w:before="120" w:after="120" w:line="288" w:lineRule="auto"/>
        <w:ind w:left="0"/>
        <w:jc w:val="left"/>
      </w:pPr>
      <w:r>
        <w:rPr>
          <w:rFonts w:eastAsia="等线" w:ascii="Arial" w:cs="Arial" w:hAnsi="Arial"/>
          <w:sz w:val="22"/>
        </w:rPr>
        <w:t>GST enforces strict IT security protocols — complicates server access</w:t>
      </w:r>
    </w:p>
    <w:p>
      <w:pPr>
        <w:numPr>
          <w:numId w:val="61"/>
        </w:numPr>
        <w:spacing w:before="120" w:after="120" w:line="288" w:lineRule="auto"/>
        <w:ind w:left="0"/>
        <w:jc w:val="left"/>
      </w:pPr>
      <w:r>
        <w:rPr>
          <w:rFonts w:eastAsia="等线" w:ascii="Arial" w:cs="Arial" w:hAnsi="Arial"/>
          <w:sz w:val="22"/>
        </w:rPr>
        <w:t>Permissions must be clarified with IT before environment can be fully explored</w:t>
      </w:r>
    </w:p>
    <w:p>
      <w:pPr>
        <w:numPr>
          <w:numId w:val="62"/>
        </w:numPr>
        <w:spacing w:before="120" w:after="120" w:line="288" w:lineRule="auto"/>
        <w:ind w:left="0"/>
        <w:jc w:val="left"/>
      </w:pPr>
      <w:r>
        <w:rPr>
          <w:rFonts w:eastAsia="等线" w:ascii="Arial" w:cs="Arial" w:hAnsi="Arial"/>
          <w:sz w:val="22"/>
        </w:rPr>
        <w:t>High security necessary to protect production data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Next Steps</w:t>
      </w:r>
      <w:bookmarkEnd w:id="8"/>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Next Action Items</w:t>
      </w:r>
      <w:bookmarkEnd w:id="9"/>
    </w:p>
    <w:p>
      <w:pPr>
        <w:spacing w:before="120" w:after="120" w:line="288" w:lineRule="auto"/>
        <w:ind w:left="0"/>
        <w:jc w:val="left"/>
      </w:pPr>
      <w:r>
        <w:rPr>
          <w:rFonts w:eastAsia="等线" w:ascii="Arial" w:cs="Arial" w:hAnsi="Arial"/>
          <w:b w:val="true"/>
          <w:sz w:val="22"/>
        </w:rPr>
        <w:t>Gareth (Product)</w:t>
      </w:r>
    </w:p>
    <w:p>
      <w:pPr>
        <w:numPr>
          <w:numId w:val="63"/>
        </w:numPr>
        <w:spacing w:before="120" w:after="120" w:line="288" w:lineRule="auto"/>
        <w:ind w:left="0"/>
        <w:jc w:val="left"/>
      </w:pPr>
      <w:r>
        <w:rPr>
          <w:rFonts w:eastAsia="等线" w:ascii="Arial" w:cs="Arial" w:hAnsi="Arial"/>
          <w:sz w:val="22"/>
        </w:rPr>
        <w:t>Follow up with GST — request full list of SAP custom/UDF fields</w:t>
      </w:r>
    </w:p>
    <w:p>
      <w:pPr>
        <w:numPr>
          <w:numId w:val="64"/>
        </w:numPr>
        <w:spacing w:before="120" w:after="120" w:line="288" w:lineRule="auto"/>
        <w:ind w:left="0"/>
        <w:jc w:val="left"/>
      </w:pPr>
      <w:r>
        <w:rPr>
          <w:rFonts w:eastAsia="等线" w:ascii="Arial" w:cs="Arial" w:hAnsi="Arial"/>
          <w:sz w:val="22"/>
        </w:rPr>
        <w:t>Schedule requirements gathering session (custom fields, stock transformation rules, document numbering conventions)</w:t>
      </w:r>
    </w:p>
    <w:p>
      <w:pPr>
        <w:spacing w:before="120" w:after="120" w:line="288" w:lineRule="auto"/>
        <w:ind w:left="0"/>
        <w:jc w:val="left"/>
      </w:pPr>
      <w:r>
        <w:rPr>
          <w:rFonts w:eastAsia="等线" w:ascii="Arial" w:cs="Arial" w:hAnsi="Arial"/>
          <w:b w:val="true"/>
          <w:sz w:val="22"/>
        </w:rPr>
        <w:t>MAIA Dev (Jermaine &amp; Azib)</w:t>
      </w:r>
    </w:p>
    <w:p>
      <w:pPr>
        <w:numPr>
          <w:numId w:val="65"/>
        </w:numPr>
        <w:spacing w:before="120" w:after="120" w:line="288" w:lineRule="auto"/>
        <w:ind w:left="0"/>
        <w:jc w:val="left"/>
      </w:pPr>
      <w:r>
        <w:rPr>
          <w:rFonts w:eastAsia="等线" w:ascii="Arial" w:cs="Arial" w:hAnsi="Arial"/>
          <w:sz w:val="22"/>
        </w:rPr>
        <w:t>Set up dev server mirroring GST production data (after UAT access granted)</w:t>
      </w:r>
    </w:p>
    <w:p>
      <w:pPr>
        <w:numPr>
          <w:numId w:val="66"/>
        </w:numPr>
        <w:spacing w:before="120" w:after="120" w:line="288" w:lineRule="auto"/>
        <w:ind w:left="0"/>
        <w:jc w:val="left"/>
      </w:pPr>
      <w:r>
        <w:rPr>
          <w:rFonts w:eastAsia="等线" w:ascii="Arial" w:cs="Arial" w:hAnsi="Arial"/>
          <w:sz w:val="22"/>
        </w:rPr>
        <w:t>Map SAP B1 standard service layer coverage vs custom endpoint gaps (after field list received)</w:t>
      </w:r>
    </w:p>
    <w:p>
      <w:pPr>
        <w:numPr>
          <w:numId w:val="67"/>
        </w:numPr>
        <w:spacing w:before="120" w:after="120" w:line="288" w:lineRule="auto"/>
        <w:ind w:left="0"/>
        <w:jc w:val="left"/>
      </w:pPr>
      <w:r>
        <w:rPr>
          <w:rFonts w:eastAsia="等线" w:ascii="Arial" w:cs="Arial" w:hAnsi="Arial"/>
          <w:sz w:val="22"/>
        </w:rPr>
        <w:t>Configure webhook triggers on middleware once base setup done</w:t>
      </w:r>
    </w:p>
    <w:p>
      <w:pPr>
        <w:spacing w:before="120" w:after="120" w:line="288" w:lineRule="auto"/>
        <w:ind w:left="0"/>
        <w:jc w:val="left"/>
      </w:pPr>
      <w:r>
        <w:rPr>
          <w:rFonts w:eastAsia="等线" w:ascii="Arial" w:cs="Arial" w:hAnsi="Arial"/>
          <w:b w:val="true"/>
          <w:sz w:val="22"/>
        </w:rPr>
        <w:t>GST IT</w:t>
      </w:r>
    </w:p>
    <w:p>
      <w:pPr>
        <w:numPr>
          <w:numId w:val="68"/>
        </w:numPr>
        <w:spacing w:before="120" w:after="120" w:line="288" w:lineRule="auto"/>
        <w:ind w:left="0"/>
        <w:jc w:val="left"/>
      </w:pPr>
      <w:r>
        <w:rPr>
          <w:rFonts w:eastAsia="等线" w:ascii="Arial" w:cs="Arial" w:hAnsi="Arial"/>
          <w:sz w:val="22"/>
        </w:rPr>
        <w:t>Provision SAP UAT instance access for MAIA team</w:t>
      </w:r>
    </w:p>
    <w:p>
      <w:pPr>
        <w:numPr>
          <w:numId w:val="69"/>
        </w:numPr>
        <w:spacing w:before="120" w:after="120" w:line="288" w:lineRule="auto"/>
        <w:ind w:left="0"/>
        <w:jc w:val="left"/>
      </w:pPr>
      <w:r>
        <w:rPr>
          <w:rFonts w:eastAsia="等线" w:ascii="Arial" w:cs="Arial" w:hAnsi="Arial"/>
          <w:sz w:val="22"/>
        </w:rPr>
        <w:t>Prepare and send full list of SAP custom/UDF fields</w:t>
      </w:r>
    </w:p>
    <w:p>
      <w:pPr>
        <w:numPr>
          <w:numId w:val="70"/>
        </w:numPr>
        <w:spacing w:before="120" w:after="120" w:line="288" w:lineRule="auto"/>
        <w:ind w:left="0"/>
        <w:jc w:val="left"/>
      </w:pPr>
      <w:r>
        <w:rPr>
          <w:rFonts w:eastAsia="等线" w:ascii="Arial" w:cs="Arial" w:hAnsi="Arial"/>
          <w:sz w:val="22"/>
        </w:rPr>
        <w:t>Build custom endpoints for fields not supported by standard service layer (after field mapping confirmed)</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6580">
    <w:lvl>
      <w:numFmt w:val="bullet"/>
      <w:suff w:val="tab"/>
      <w:lvlText w:val="•"/>
      <w:rPr>
        <w:color w:val="3370ff"/>
      </w:rPr>
    </w:lvl>
  </w:abstractNum>
  <w:abstractNum w:abstractNumId="26581">
    <w:lvl>
      <w:numFmt w:val="bullet"/>
      <w:suff w:val="tab"/>
      <w:lvlText w:val="•"/>
      <w:rPr>
        <w:color w:val="3370ff"/>
      </w:rPr>
    </w:lvl>
  </w:abstractNum>
  <w:abstractNum w:abstractNumId="26582">
    <w:lvl>
      <w:numFmt w:val="bullet"/>
      <w:suff w:val="tab"/>
      <w:lvlText w:val="•"/>
      <w:rPr>
        <w:color w:val="3370ff"/>
      </w:rPr>
    </w:lvl>
  </w:abstractNum>
  <w:abstractNum w:abstractNumId="26583">
    <w:lvl>
      <w:numFmt w:val="bullet"/>
      <w:suff w:val="tab"/>
      <w:lvlText w:val="•"/>
      <w:rPr>
        <w:color w:val="3370ff"/>
      </w:rPr>
    </w:lvl>
  </w:abstractNum>
  <w:abstractNum w:abstractNumId="26584">
    <w:lvl>
      <w:numFmt w:val="bullet"/>
      <w:suff w:val="tab"/>
      <w:lvlText w:val="•"/>
      <w:rPr>
        <w:color w:val="3370ff"/>
      </w:rPr>
    </w:lvl>
  </w:abstractNum>
  <w:abstractNum w:abstractNumId="26585">
    <w:lvl>
      <w:numFmt w:val="bullet"/>
      <w:suff w:val="tab"/>
      <w:lvlText w:val="•"/>
      <w:rPr>
        <w:color w:val="3370ff"/>
      </w:rPr>
    </w:lvl>
  </w:abstractNum>
  <w:abstractNum w:abstractNumId="26586">
    <w:lvl>
      <w:numFmt w:val="bullet"/>
      <w:suff w:val="tab"/>
      <w:lvlText w:val="•"/>
      <w:rPr>
        <w:color w:val="3370ff"/>
      </w:rPr>
    </w:lvl>
  </w:abstractNum>
  <w:abstractNum w:abstractNumId="26587">
    <w:lvl>
      <w:numFmt w:val="bullet"/>
      <w:suff w:val="tab"/>
      <w:lvlText w:val="•"/>
      <w:rPr>
        <w:color w:val="3370ff"/>
      </w:rPr>
    </w:lvl>
  </w:abstractNum>
  <w:abstractNum w:abstractNumId="26588">
    <w:lvl>
      <w:numFmt w:val="bullet"/>
      <w:suff w:val="tab"/>
      <w:lvlText w:val="•"/>
      <w:rPr>
        <w:color w:val="3370ff"/>
      </w:rPr>
    </w:lvl>
  </w:abstractNum>
  <w:abstractNum w:abstractNumId="26589">
    <w:lvl>
      <w:numFmt w:val="bullet"/>
      <w:suff w:val="tab"/>
      <w:lvlText w:val="•"/>
      <w:rPr>
        <w:color w:val="3370ff"/>
      </w:rPr>
    </w:lvl>
  </w:abstractNum>
  <w:abstractNum w:abstractNumId="26590">
    <w:lvl>
      <w:numFmt w:val="bullet"/>
      <w:suff w:val="tab"/>
      <w:lvlText w:val="•"/>
      <w:rPr>
        <w:color w:val="3370ff"/>
      </w:rPr>
    </w:lvl>
  </w:abstractNum>
  <w:abstractNum w:abstractNumId="26591">
    <w:lvl>
      <w:numFmt w:val="bullet"/>
      <w:suff w:val="tab"/>
      <w:lvlText w:val="•"/>
      <w:rPr>
        <w:color w:val="3370ff"/>
      </w:rPr>
    </w:lvl>
  </w:abstractNum>
  <w:abstractNum w:abstractNumId="26592">
    <w:lvl>
      <w:numFmt w:val="bullet"/>
      <w:suff w:val="tab"/>
      <w:lvlText w:val="•"/>
      <w:rPr>
        <w:color w:val="3370ff"/>
      </w:rPr>
    </w:lvl>
  </w:abstractNum>
  <w:abstractNum w:abstractNumId="26593">
    <w:lvl>
      <w:numFmt w:val="bullet"/>
      <w:suff w:val="tab"/>
      <w:lvlText w:val="•"/>
      <w:rPr>
        <w:color w:val="3370ff"/>
      </w:rPr>
    </w:lvl>
  </w:abstractNum>
  <w:abstractNum w:abstractNumId="26594">
    <w:lvl>
      <w:numFmt w:val="bullet"/>
      <w:suff w:val="tab"/>
      <w:lvlText w:val="•"/>
      <w:rPr>
        <w:color w:val="3370ff"/>
      </w:rPr>
    </w:lvl>
  </w:abstractNum>
  <w:abstractNum w:abstractNumId="26595">
    <w:lvl>
      <w:numFmt w:val="bullet"/>
      <w:suff w:val="tab"/>
      <w:lvlText w:val="•"/>
      <w:rPr>
        <w:color w:val="3370ff"/>
      </w:rPr>
    </w:lvl>
  </w:abstractNum>
  <w:abstractNum w:abstractNumId="26596">
    <w:lvl>
      <w:numFmt w:val="bullet"/>
      <w:suff w:val="tab"/>
      <w:lvlText w:val="•"/>
      <w:rPr>
        <w:color w:val="3370ff"/>
      </w:rPr>
    </w:lvl>
  </w:abstractNum>
  <w:abstractNum w:abstractNumId="26597">
    <w:lvl>
      <w:numFmt w:val="bullet"/>
      <w:suff w:val="tab"/>
      <w:lvlText w:val="•"/>
      <w:rPr>
        <w:color w:val="3370ff"/>
      </w:rPr>
    </w:lvl>
  </w:abstractNum>
  <w:abstractNum w:abstractNumId="26598">
    <w:lvl>
      <w:numFmt w:val="bullet"/>
      <w:suff w:val="tab"/>
      <w:lvlText w:val="•"/>
      <w:rPr>
        <w:color w:val="3370ff"/>
      </w:rPr>
    </w:lvl>
  </w:abstractNum>
  <w:abstractNum w:abstractNumId="26599">
    <w:lvl>
      <w:numFmt w:val="bullet"/>
      <w:suff w:val="tab"/>
      <w:lvlText w:val="•"/>
      <w:rPr>
        <w:color w:val="3370ff"/>
      </w:rPr>
    </w:lvl>
  </w:abstractNum>
  <w:abstractNum w:abstractNumId="26600">
    <w:lvl>
      <w:numFmt w:val="bullet"/>
      <w:suff w:val="tab"/>
      <w:lvlText w:val="•"/>
      <w:rPr>
        <w:color w:val="3370ff"/>
      </w:rPr>
    </w:lvl>
  </w:abstractNum>
  <w:abstractNum w:abstractNumId="26601">
    <w:lvl>
      <w:numFmt w:val="bullet"/>
      <w:suff w:val="tab"/>
      <w:lvlText w:val="•"/>
      <w:rPr>
        <w:color w:val="3370ff"/>
      </w:rPr>
    </w:lvl>
  </w:abstractNum>
  <w:abstractNum w:abstractNumId="26602">
    <w:lvl>
      <w:numFmt w:val="bullet"/>
      <w:suff w:val="tab"/>
      <w:lvlText w:val="•"/>
      <w:rPr>
        <w:color w:val="3370ff"/>
      </w:rPr>
    </w:lvl>
  </w:abstractNum>
  <w:abstractNum w:abstractNumId="26603">
    <w:lvl>
      <w:numFmt w:val="bullet"/>
      <w:suff w:val="tab"/>
      <w:lvlText w:val="•"/>
      <w:rPr>
        <w:color w:val="3370ff"/>
      </w:rPr>
    </w:lvl>
  </w:abstractNum>
  <w:abstractNum w:abstractNumId="26604">
    <w:lvl>
      <w:numFmt w:val="bullet"/>
      <w:suff w:val="tab"/>
      <w:lvlText w:val="•"/>
      <w:rPr>
        <w:color w:val="3370ff"/>
      </w:rPr>
    </w:lvl>
  </w:abstractNum>
  <w:abstractNum w:abstractNumId="26605">
    <w:lvl>
      <w:numFmt w:val="bullet"/>
      <w:suff w:val="tab"/>
      <w:lvlText w:val="•"/>
      <w:rPr>
        <w:color w:val="3370ff"/>
      </w:rPr>
    </w:lvl>
  </w:abstractNum>
  <w:abstractNum w:abstractNumId="26606">
    <w:lvl>
      <w:numFmt w:val="bullet"/>
      <w:suff w:val="tab"/>
      <w:lvlText w:val="•"/>
      <w:rPr>
        <w:color w:val="3370ff"/>
      </w:rPr>
    </w:lvl>
  </w:abstractNum>
  <w:abstractNum w:abstractNumId="26607">
    <w:lvl>
      <w:numFmt w:val="bullet"/>
      <w:suff w:val="tab"/>
      <w:lvlText w:val="•"/>
      <w:rPr>
        <w:color w:val="3370ff"/>
      </w:rPr>
    </w:lvl>
  </w:abstractNum>
  <w:abstractNum w:abstractNumId="26608">
    <w:lvl>
      <w:numFmt w:val="bullet"/>
      <w:suff w:val="tab"/>
      <w:lvlText w:val="•"/>
      <w:rPr>
        <w:color w:val="3370ff"/>
      </w:rPr>
    </w:lvl>
  </w:abstractNum>
  <w:abstractNum w:abstractNumId="26609">
    <w:lvl>
      <w:numFmt w:val="bullet"/>
      <w:suff w:val="tab"/>
      <w:lvlText w:val="•"/>
      <w:rPr>
        <w:color w:val="3370ff"/>
      </w:rPr>
    </w:lvl>
  </w:abstractNum>
  <w:abstractNum w:abstractNumId="26610">
    <w:lvl>
      <w:numFmt w:val="bullet"/>
      <w:suff w:val="tab"/>
      <w:lvlText w:val="•"/>
      <w:rPr>
        <w:color w:val="3370ff"/>
      </w:rPr>
    </w:lvl>
  </w:abstractNum>
  <w:abstractNum w:abstractNumId="26611">
    <w:lvl>
      <w:numFmt w:val="bullet"/>
      <w:suff w:val="tab"/>
      <w:lvlText w:val="•"/>
      <w:rPr>
        <w:color w:val="3370ff"/>
      </w:rPr>
    </w:lvl>
  </w:abstractNum>
  <w:abstractNum w:abstractNumId="26612">
    <w:lvl>
      <w:numFmt w:val="bullet"/>
      <w:suff w:val="tab"/>
      <w:lvlText w:val="•"/>
      <w:rPr>
        <w:color w:val="3370ff"/>
      </w:rPr>
    </w:lvl>
  </w:abstractNum>
  <w:abstractNum w:abstractNumId="26613">
    <w:lvl>
      <w:numFmt w:val="bullet"/>
      <w:suff w:val="tab"/>
      <w:lvlText w:val="•"/>
      <w:rPr>
        <w:color w:val="3370ff"/>
      </w:rPr>
    </w:lvl>
  </w:abstractNum>
  <w:abstractNum w:abstractNumId="26614">
    <w:lvl>
      <w:numFmt w:val="bullet"/>
      <w:suff w:val="tab"/>
      <w:lvlText w:val="•"/>
      <w:rPr>
        <w:color w:val="3370ff"/>
      </w:rPr>
    </w:lvl>
  </w:abstractNum>
  <w:abstractNum w:abstractNumId="26615">
    <w:lvl>
      <w:numFmt w:val="bullet"/>
      <w:suff w:val="tab"/>
      <w:lvlText w:val="•"/>
      <w:rPr>
        <w:color w:val="3370ff"/>
      </w:rPr>
    </w:lvl>
  </w:abstractNum>
  <w:abstractNum w:abstractNumId="26616">
    <w:lvl>
      <w:numFmt w:val="bullet"/>
      <w:suff w:val="tab"/>
      <w:lvlText w:val="•"/>
      <w:rPr>
        <w:color w:val="3370ff"/>
      </w:rPr>
    </w:lvl>
  </w:abstractNum>
  <w:abstractNum w:abstractNumId="26617">
    <w:lvl>
      <w:numFmt w:val="bullet"/>
      <w:suff w:val="tab"/>
      <w:lvlText w:val="•"/>
      <w:rPr>
        <w:color w:val="3370ff"/>
      </w:rPr>
    </w:lvl>
  </w:abstractNum>
  <w:abstractNum w:abstractNumId="26618">
    <w:lvl>
      <w:numFmt w:val="bullet"/>
      <w:suff w:val="tab"/>
      <w:lvlText w:val="•"/>
      <w:rPr>
        <w:color w:val="3370ff"/>
      </w:rPr>
    </w:lvl>
  </w:abstractNum>
  <w:abstractNum w:abstractNumId="26619">
    <w:lvl>
      <w:numFmt w:val="bullet"/>
      <w:suff w:val="tab"/>
      <w:lvlText w:val="•"/>
      <w:rPr>
        <w:color w:val="3370ff"/>
      </w:rPr>
    </w:lvl>
  </w:abstractNum>
  <w:abstractNum w:abstractNumId="26620">
    <w:lvl>
      <w:numFmt w:val="bullet"/>
      <w:suff w:val="tab"/>
      <w:lvlText w:val="•"/>
      <w:rPr>
        <w:color w:val="3370ff"/>
      </w:rPr>
    </w:lvl>
  </w:abstractNum>
  <w:abstractNum w:abstractNumId="26621">
    <w:lvl>
      <w:numFmt w:val="bullet"/>
      <w:suff w:val="tab"/>
      <w:lvlText w:val="•"/>
      <w:rPr>
        <w:color w:val="3370ff"/>
      </w:rPr>
    </w:lvl>
  </w:abstractNum>
  <w:abstractNum w:abstractNumId="26622">
    <w:lvl>
      <w:numFmt w:val="bullet"/>
      <w:suff w:val="tab"/>
      <w:lvlText w:val="•"/>
      <w:rPr>
        <w:color w:val="3370ff"/>
      </w:rPr>
    </w:lvl>
  </w:abstractNum>
  <w:abstractNum w:abstractNumId="26623">
    <w:lvl>
      <w:numFmt w:val="bullet"/>
      <w:suff w:val="tab"/>
      <w:lvlText w:val="•"/>
      <w:rPr>
        <w:color w:val="3370ff"/>
      </w:rPr>
    </w:lvl>
  </w:abstractNum>
  <w:abstractNum w:abstractNumId="26624">
    <w:lvl>
      <w:numFmt w:val="bullet"/>
      <w:suff w:val="tab"/>
      <w:lvlText w:val="•"/>
      <w:rPr>
        <w:color w:val="3370ff"/>
      </w:rPr>
    </w:lvl>
  </w:abstractNum>
  <w:abstractNum w:abstractNumId="26625">
    <w:lvl>
      <w:numFmt w:val="bullet"/>
      <w:suff w:val="tab"/>
      <w:lvlText w:val="•"/>
      <w:rPr>
        <w:color w:val="3370ff"/>
      </w:rPr>
    </w:lvl>
  </w:abstractNum>
  <w:abstractNum w:abstractNumId="26626">
    <w:lvl>
      <w:numFmt w:val="bullet"/>
      <w:suff w:val="tab"/>
      <w:lvlText w:val="•"/>
      <w:rPr>
        <w:color w:val="3370ff"/>
      </w:rPr>
    </w:lvl>
  </w:abstractNum>
  <w:abstractNum w:abstractNumId="26627">
    <w:lvl>
      <w:numFmt w:val="bullet"/>
      <w:suff w:val="tab"/>
      <w:lvlText w:val="•"/>
      <w:rPr>
        <w:color w:val="3370ff"/>
      </w:rPr>
    </w:lvl>
  </w:abstractNum>
  <w:abstractNum w:abstractNumId="26628">
    <w:lvl>
      <w:numFmt w:val="bullet"/>
      <w:suff w:val="tab"/>
      <w:lvlText w:val="•"/>
      <w:rPr>
        <w:color w:val="3370ff"/>
      </w:rPr>
    </w:lvl>
  </w:abstractNum>
  <w:abstractNum w:abstractNumId="26629">
    <w:lvl>
      <w:numFmt w:val="bullet"/>
      <w:suff w:val="tab"/>
      <w:lvlText w:val="•"/>
      <w:rPr>
        <w:color w:val="3370ff"/>
      </w:rPr>
    </w:lvl>
  </w:abstractNum>
  <w:abstractNum w:abstractNumId="26630">
    <w:lvl>
      <w:numFmt w:val="bullet"/>
      <w:suff w:val="tab"/>
      <w:lvlText w:val="•"/>
      <w:rPr>
        <w:color w:val="3370ff"/>
      </w:rPr>
    </w:lvl>
  </w:abstractNum>
  <w:abstractNum w:abstractNumId="26631">
    <w:lvl>
      <w:numFmt w:val="bullet"/>
      <w:suff w:val="tab"/>
      <w:lvlText w:val="•"/>
      <w:rPr>
        <w:color w:val="3370ff"/>
      </w:rPr>
    </w:lvl>
  </w:abstractNum>
  <w:abstractNum w:abstractNumId="26632">
    <w:lvl>
      <w:numFmt w:val="bullet"/>
      <w:suff w:val="tab"/>
      <w:lvlText w:val="•"/>
      <w:rPr>
        <w:color w:val="3370ff"/>
      </w:rPr>
    </w:lvl>
  </w:abstractNum>
  <w:abstractNum w:abstractNumId="26633">
    <w:lvl>
      <w:numFmt w:val="bullet"/>
      <w:suff w:val="tab"/>
      <w:lvlText w:val="•"/>
      <w:rPr>
        <w:color w:val="3370ff"/>
      </w:rPr>
    </w:lvl>
  </w:abstractNum>
  <w:abstractNum w:abstractNumId="26634">
    <w:lvl>
      <w:numFmt w:val="bullet"/>
      <w:suff w:val="tab"/>
      <w:lvlText w:val="•"/>
      <w:rPr>
        <w:color w:val="3370ff"/>
      </w:rPr>
    </w:lvl>
  </w:abstractNum>
  <w:abstractNum w:abstractNumId="26635">
    <w:lvl>
      <w:numFmt w:val="bullet"/>
      <w:suff w:val="tab"/>
      <w:lvlText w:val="•"/>
      <w:rPr>
        <w:color w:val="3370ff"/>
      </w:rPr>
    </w:lvl>
  </w:abstractNum>
  <w:abstractNum w:abstractNumId="26636">
    <w:lvl>
      <w:numFmt w:val="bullet"/>
      <w:suff w:val="tab"/>
      <w:lvlText w:val="•"/>
      <w:rPr>
        <w:color w:val="3370ff"/>
      </w:rPr>
    </w:lvl>
  </w:abstractNum>
  <w:abstractNum w:abstractNumId="26637">
    <w:lvl>
      <w:numFmt w:val="bullet"/>
      <w:suff w:val="tab"/>
      <w:lvlText w:val="•"/>
      <w:rPr>
        <w:color w:val="3370ff"/>
      </w:rPr>
    </w:lvl>
  </w:abstractNum>
  <w:abstractNum w:abstractNumId="26638">
    <w:lvl>
      <w:numFmt w:val="bullet"/>
      <w:suff w:val="tab"/>
      <w:lvlText w:val="•"/>
      <w:rPr>
        <w:color w:val="3370ff"/>
      </w:rPr>
    </w:lvl>
  </w:abstractNum>
  <w:abstractNum w:abstractNumId="26639">
    <w:lvl>
      <w:numFmt w:val="bullet"/>
      <w:suff w:val="tab"/>
      <w:lvlText w:val="•"/>
      <w:rPr>
        <w:color w:val="3370ff"/>
      </w:rPr>
    </w:lvl>
  </w:abstractNum>
  <w:abstractNum w:abstractNumId="26640">
    <w:lvl>
      <w:numFmt w:val="bullet"/>
      <w:suff w:val="tab"/>
      <w:lvlText w:val="•"/>
      <w:rPr>
        <w:color w:val="3370ff"/>
      </w:rPr>
    </w:lvl>
  </w:abstractNum>
  <w:abstractNum w:abstractNumId="26641">
    <w:lvl>
      <w:numFmt w:val="bullet"/>
      <w:suff w:val="tab"/>
      <w:lvlText w:val="•"/>
      <w:rPr>
        <w:color w:val="3370ff"/>
      </w:rPr>
    </w:lvl>
  </w:abstractNum>
  <w:abstractNum w:abstractNumId="26642">
    <w:lvl>
      <w:numFmt w:val="bullet"/>
      <w:suff w:val="tab"/>
      <w:lvlText w:val="•"/>
      <w:rPr>
        <w:color w:val="3370ff"/>
      </w:rPr>
    </w:lvl>
  </w:abstractNum>
  <w:abstractNum w:abstractNumId="26643">
    <w:lvl>
      <w:numFmt w:val="bullet"/>
      <w:suff w:val="tab"/>
      <w:lvlText w:val="•"/>
      <w:rPr>
        <w:color w:val="3370ff"/>
      </w:rPr>
    </w:lvl>
  </w:abstractNum>
  <w:abstractNum w:abstractNumId="26644">
    <w:lvl>
      <w:numFmt w:val="bullet"/>
      <w:suff w:val="tab"/>
      <w:lvlText w:val="•"/>
      <w:rPr>
        <w:color w:val="3370ff"/>
      </w:rPr>
    </w:lvl>
  </w:abstractNum>
  <w:abstractNum w:abstractNumId="26645">
    <w:lvl>
      <w:numFmt w:val="bullet"/>
      <w:suff w:val="tab"/>
      <w:lvlText w:val="•"/>
      <w:rPr>
        <w:color w:val="3370ff"/>
      </w:rPr>
    </w:lvl>
  </w:abstractNum>
  <w:abstractNum w:abstractNumId="26646">
    <w:lvl>
      <w:numFmt w:val="bullet"/>
      <w:suff w:val="tab"/>
      <w:lvlText w:val="•"/>
      <w:rPr>
        <w:color w:val="3370ff"/>
      </w:rPr>
    </w:lvl>
  </w:abstractNum>
  <w:abstractNum w:abstractNumId="26647">
    <w:lvl>
      <w:numFmt w:val="bullet"/>
      <w:suff w:val="tab"/>
      <w:lvlText w:val="•"/>
      <w:rPr>
        <w:color w:val="3370ff"/>
      </w:rPr>
    </w:lvl>
  </w:abstractNum>
  <w:abstractNum w:abstractNumId="26648">
    <w:lvl>
      <w:numFmt w:val="bullet"/>
      <w:suff w:val="tab"/>
      <w:lvlText w:val="•"/>
      <w:rPr>
        <w:color w:val="3370ff"/>
      </w:rPr>
    </w:lvl>
  </w:abstractNum>
  <w:abstractNum w:abstractNumId="26649">
    <w:lvl>
      <w:numFmt w:val="bullet"/>
      <w:suff w:val="tab"/>
      <w:lvlText w:val="•"/>
      <w:rPr>
        <w:color w:val="3370ff"/>
      </w:rPr>
    </w:lvl>
  </w:abstractNum>
  <w:num w:numId="1">
    <w:abstractNumId w:val="26580"/>
  </w:num>
  <w:num w:numId="2">
    <w:abstractNumId w:val="26581"/>
  </w:num>
  <w:num w:numId="3">
    <w:abstractNumId w:val="26582"/>
  </w:num>
  <w:num w:numId="4">
    <w:abstractNumId w:val="26583"/>
  </w:num>
  <w:num w:numId="5">
    <w:abstractNumId w:val="26584"/>
  </w:num>
  <w:num w:numId="6">
    <w:abstractNumId w:val="26585"/>
  </w:num>
  <w:num w:numId="7">
    <w:abstractNumId w:val="26586"/>
  </w:num>
  <w:num w:numId="8">
    <w:abstractNumId w:val="26587"/>
  </w:num>
  <w:num w:numId="9">
    <w:abstractNumId w:val="26588"/>
  </w:num>
  <w:num w:numId="10">
    <w:abstractNumId w:val="26589"/>
  </w:num>
  <w:num w:numId="11">
    <w:abstractNumId w:val="26590"/>
  </w:num>
  <w:num w:numId="12">
    <w:abstractNumId w:val="26591"/>
  </w:num>
  <w:num w:numId="13">
    <w:abstractNumId w:val="26592"/>
  </w:num>
  <w:num w:numId="14">
    <w:abstractNumId w:val="26593"/>
  </w:num>
  <w:num w:numId="15">
    <w:abstractNumId w:val="26594"/>
  </w:num>
  <w:num w:numId="16">
    <w:abstractNumId w:val="26595"/>
  </w:num>
  <w:num w:numId="17">
    <w:abstractNumId w:val="26596"/>
  </w:num>
  <w:num w:numId="18">
    <w:abstractNumId w:val="26597"/>
  </w:num>
  <w:num w:numId="19">
    <w:abstractNumId w:val="26598"/>
  </w:num>
  <w:num w:numId="20">
    <w:abstractNumId w:val="26599"/>
  </w:num>
  <w:num w:numId="21">
    <w:abstractNumId w:val="26600"/>
  </w:num>
  <w:num w:numId="22">
    <w:abstractNumId w:val="26601"/>
  </w:num>
  <w:num w:numId="23">
    <w:abstractNumId w:val="26602"/>
  </w:num>
  <w:num w:numId="24">
    <w:abstractNumId w:val="26603"/>
  </w:num>
  <w:num w:numId="25">
    <w:abstractNumId w:val="26604"/>
  </w:num>
  <w:num w:numId="26">
    <w:abstractNumId w:val="26605"/>
  </w:num>
  <w:num w:numId="27">
    <w:abstractNumId w:val="26606"/>
  </w:num>
  <w:num w:numId="28">
    <w:abstractNumId w:val="26607"/>
  </w:num>
  <w:num w:numId="29">
    <w:abstractNumId w:val="26608"/>
  </w:num>
  <w:num w:numId="30">
    <w:abstractNumId w:val="26609"/>
  </w:num>
  <w:num w:numId="31">
    <w:abstractNumId w:val="26610"/>
  </w:num>
  <w:num w:numId="32">
    <w:abstractNumId w:val="26611"/>
  </w:num>
  <w:num w:numId="33">
    <w:abstractNumId w:val="26612"/>
  </w:num>
  <w:num w:numId="34">
    <w:abstractNumId w:val="26613"/>
  </w:num>
  <w:num w:numId="35">
    <w:abstractNumId w:val="26614"/>
  </w:num>
  <w:num w:numId="36">
    <w:abstractNumId w:val="26615"/>
  </w:num>
  <w:num w:numId="37">
    <w:abstractNumId w:val="26616"/>
  </w:num>
  <w:num w:numId="38">
    <w:abstractNumId w:val="26617"/>
  </w:num>
  <w:num w:numId="39">
    <w:abstractNumId w:val="26618"/>
  </w:num>
  <w:num w:numId="40">
    <w:abstractNumId w:val="26619"/>
  </w:num>
  <w:num w:numId="41">
    <w:abstractNumId w:val="26620"/>
  </w:num>
  <w:num w:numId="42">
    <w:abstractNumId w:val="26621"/>
  </w:num>
  <w:num w:numId="43">
    <w:abstractNumId w:val="26622"/>
  </w:num>
  <w:num w:numId="44">
    <w:abstractNumId w:val="26623"/>
  </w:num>
  <w:num w:numId="45">
    <w:abstractNumId w:val="26624"/>
  </w:num>
  <w:num w:numId="46">
    <w:abstractNumId w:val="26625"/>
  </w:num>
  <w:num w:numId="47">
    <w:abstractNumId w:val="26626"/>
  </w:num>
  <w:num w:numId="48">
    <w:abstractNumId w:val="26627"/>
  </w:num>
  <w:num w:numId="49">
    <w:abstractNumId w:val="26628"/>
  </w:num>
  <w:num w:numId="50">
    <w:abstractNumId w:val="26629"/>
  </w:num>
  <w:num w:numId="51">
    <w:abstractNumId w:val="26630"/>
  </w:num>
  <w:num w:numId="52">
    <w:abstractNumId w:val="26631"/>
  </w:num>
  <w:num w:numId="53">
    <w:abstractNumId w:val="26632"/>
  </w:num>
  <w:num w:numId="54">
    <w:abstractNumId w:val="26633"/>
  </w:num>
  <w:num w:numId="55">
    <w:abstractNumId w:val="26634"/>
  </w:num>
  <w:num w:numId="56">
    <w:abstractNumId w:val="26635"/>
  </w:num>
  <w:num w:numId="57">
    <w:abstractNumId w:val="26636"/>
  </w:num>
  <w:num w:numId="58">
    <w:abstractNumId w:val="26637"/>
  </w:num>
  <w:num w:numId="59">
    <w:abstractNumId w:val="26638"/>
  </w:num>
  <w:num w:numId="60">
    <w:abstractNumId w:val="26639"/>
  </w:num>
  <w:num w:numId="61">
    <w:abstractNumId w:val="26640"/>
  </w:num>
  <w:num w:numId="62">
    <w:abstractNumId w:val="26641"/>
  </w:num>
  <w:num w:numId="63">
    <w:abstractNumId w:val="26642"/>
  </w:num>
  <w:num w:numId="64">
    <w:abstractNumId w:val="26643"/>
  </w:num>
  <w:num w:numId="65">
    <w:abstractNumId w:val="26644"/>
  </w:num>
  <w:num w:numId="66">
    <w:abstractNumId w:val="26645"/>
  </w:num>
  <w:num w:numId="67">
    <w:abstractNumId w:val="26646"/>
  </w:num>
  <w:num w:numId="68">
    <w:abstractNumId w:val="26647"/>
  </w:num>
  <w:num w:numId="69">
    <w:abstractNumId w:val="26648"/>
  </w:num>
  <w:num w:numId="70">
    <w:abstractNumId w:val="2664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embeddings/Microsoft_Excel_Worksheet1.xlsx" Type="http://schemas.openxmlformats.org/officeDocument/2006/relationships/package"/><Relationship Id="rId7" Target="media/image2.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2026-08-06T18:11:20Z</dcterms:created>
  <dc:creator>Apache POI</dc:creator>
</cp:coreProperties>
</file>