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23 June 26 - GST Fine Foods Scope Lock Document</w:t>
      </w:r>
    </w:p>
    <w:p>
      <w:pPr>
        <w:pStyle w:val="1"/>
        <w:spacing w:before="380" w:after="140" w:line="288" w:lineRule="auto"/>
        <w:ind w:left="0"/>
        <w:jc w:val="left"/>
        <w:outlineLvl w:val="0"/>
      </w:pPr>
      <w:bookmarkStart w:name="heading_0" w:id="0"/>
      <w:r>
        <w:rPr>
          <w:rFonts w:eastAsia="等线" w:ascii="Arial" w:cs="Arial" w:hAnsi="Arial"/>
          <w:b w:val="true"/>
          <w:sz w:val="36"/>
        </w:rPr>
        <w:t>GST Fine Foods — Scope Lock v1.2</w:t>
      </w:r>
      <w:bookmarkEnd w:id="0"/>
    </w:p>
    <w:p>
      <w:pPr>
        <w:spacing w:before="120" w:after="120" w:line="288" w:lineRule="auto"/>
        <w:ind w:left="0"/>
        <w:jc w:val="left"/>
      </w:pPr>
      <w:r>
        <w:rPr>
          <w:rFonts w:eastAsia="等线" w:ascii="Arial" w:cs="Arial" w:hAnsi="Arial"/>
          <w:b w:val="true"/>
          <w:sz w:val="22"/>
        </w:rPr>
        <w:t>Account:</w:t>
      </w:r>
      <w:r>
        <w:rPr>
          <w:rFonts w:eastAsia="等线" w:ascii="Arial" w:cs="Arial" w:hAnsi="Arial"/>
          <w:sz w:val="22"/>
        </w:rPr>
        <w:t xml:space="preserve"> GST Fine Foods / GST Group</w:t>
        <w:br/>
      </w:r>
      <w:r>
        <w:rPr>
          <w:rFonts w:eastAsia="等线" w:ascii="Arial" w:cs="Arial" w:hAnsi="Arial"/>
          <w:b w:val="true"/>
          <w:sz w:val="22"/>
        </w:rPr>
        <w:t>Document:</w:t>
      </w:r>
      <w:r>
        <w:rPr>
          <w:rFonts w:eastAsia="等线" w:ascii="Arial" w:cs="Arial" w:hAnsi="Arial"/>
          <w:sz w:val="22"/>
        </w:rPr>
        <w:t xml:space="preserve"> Scope Lock v1.2</w:t>
        <w:br/>
      </w:r>
      <w:r>
        <w:rPr>
          <w:rFonts w:eastAsia="等线" w:ascii="Arial" w:cs="Arial" w:hAnsi="Arial"/>
          <w:b w:val="true"/>
          <w:sz w:val="22"/>
        </w:rPr>
        <w:t>Date:</w:t>
      </w:r>
      <w:r>
        <w:rPr>
          <w:rFonts w:eastAsia="等线" w:ascii="Arial" w:cs="Arial" w:hAnsi="Arial"/>
          <w:sz w:val="22"/>
        </w:rPr>
        <w:t xml:space="preserve"> 23 Jun 2026</w:t>
        <w:br/>
      </w:r>
      <w:r>
        <w:rPr>
          <w:rFonts w:eastAsia="等线" w:ascii="Arial" w:cs="Arial" w:hAnsi="Arial"/>
          <w:b w:val="true"/>
          <w:sz w:val="22"/>
        </w:rPr>
        <w:t>Build stage:</w:t>
      </w:r>
      <w:r>
        <w:rPr>
          <w:rFonts w:eastAsia="等线" w:ascii="Arial" w:cs="Arial" w:hAnsi="Arial"/>
          <w:sz w:val="22"/>
        </w:rPr>
        <w:t xml:space="preserve"> Pre-build / early implementation</w:t>
        <w:br/>
      </w:r>
      <w:r>
        <w:rPr>
          <w:rFonts w:eastAsia="等线" w:ascii="Arial" w:cs="Arial" w:hAnsi="Arial"/>
          <w:b w:val="true"/>
          <w:sz w:val="22"/>
        </w:rPr>
        <w:t>Prepared for:</w:t>
      </w:r>
      <w:r>
        <w:rPr>
          <w:rFonts w:eastAsia="等线" w:ascii="Arial" w:cs="Arial" w:hAnsi="Arial"/>
          <w:sz w:val="22"/>
        </w:rPr>
        <w:t xml:space="preserve"> Mindhive delivery, product, and engineering</w:t>
        <w:br/>
      </w:r>
      <w:r>
        <w:rPr>
          <w:rFonts w:eastAsia="等线" w:ascii="Arial" w:cs="Arial" w:hAnsi="Arial"/>
          <w:b w:val="true"/>
          <w:sz w:val="22"/>
        </w:rPr>
        <w:t>Primary grounding:</w:t>
      </w:r>
      <w:r>
        <w:rPr>
          <w:rFonts w:eastAsia="等线" w:ascii="Arial" w:cs="Arial" w:hAnsi="Arial"/>
          <w:sz w:val="22"/>
        </w:rPr>
        <w:t xml:space="preserve"> Fireflies GST Fine Foods requirements gathering transcript + Mindhive internal scope decisions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Control Note</w:t>
      </w:r>
      <w:bookmarkEnd w:id="1"/>
    </w:p>
    <w:p>
      <w:pPr>
        <w:spacing w:before="120" w:after="120" w:line="288" w:lineRule="auto"/>
        <w:ind w:left="0"/>
        <w:jc w:val="left"/>
      </w:pPr>
      <w:r>
        <w:rPr>
          <w:rFonts w:eastAsia="等线" w:ascii="Arial" w:cs="Arial" w:hAnsi="Arial"/>
          <w:sz w:val="22"/>
        </w:rPr>
        <w:t>This Scope Lock has two layers:</w:t>
      </w:r>
    </w:p>
    <w:p>
      <w:pPr>
        <w:numPr>
          <w:numId w:val="1"/>
        </w:numPr>
        <w:spacing w:before="120" w:after="120" w:line="288" w:lineRule="auto"/>
        <w:ind w:left="0"/>
        <w:jc w:val="left"/>
      </w:pPr>
      <w:r>
        <w:rPr>
          <w:rFonts w:eastAsia="等线" w:ascii="Arial" w:cs="Arial" w:hAnsi="Arial"/>
          <w:b w:val="true"/>
          <w:sz w:val="22"/>
        </w:rPr>
        <w:t>Client-evidenced scope grounding</w:t>
      </w:r>
      <w:r>
        <w:rPr>
          <w:rFonts w:eastAsia="等线" w:ascii="Arial" w:cs="Arial" w:hAnsi="Arial"/>
          <w:sz w:val="22"/>
        </w:rPr>
        <w:br/>
      </w:r>
      <w:r>
        <w:rPr>
          <w:rFonts w:eastAsia="等线" w:ascii="Arial" w:cs="Arial" w:hAnsi="Arial"/>
          <w:sz w:val="22"/>
        </w:rPr>
        <w:t>Scope direction that was discussed, validated, corrected, or narrowed in the GST Fine Foods requirements gathering conversation.</w:t>
      </w:r>
    </w:p>
    <w:p>
      <w:pPr>
        <w:numPr>
          <w:numId w:val="2"/>
        </w:numPr>
        <w:spacing w:before="120" w:after="120" w:line="288" w:lineRule="auto"/>
        <w:ind w:left="0"/>
        <w:jc w:val="left"/>
      </w:pPr>
      <w:r>
        <w:rPr>
          <w:rFonts w:eastAsia="等线" w:ascii="Arial" w:cs="Arial" w:hAnsi="Arial"/>
          <w:b w:val="true"/>
          <w:sz w:val="22"/>
        </w:rPr>
        <w:t>Mindhive internal build lock</w:t>
      </w:r>
      <w:r>
        <w:rPr>
          <w:rFonts w:eastAsia="等线" w:ascii="Arial" w:cs="Arial" w:hAnsi="Arial"/>
          <w:sz w:val="22"/>
        </w:rPr>
        <w:br/>
      </w:r>
      <w:r>
        <w:rPr>
          <w:rFonts w:eastAsia="等线" w:ascii="Arial" w:cs="Arial" w:hAnsi="Arial"/>
          <w:sz w:val="22"/>
        </w:rPr>
        <w:t>Scope that Mindhive has now decided to build, even where some implementation details still require client samples, SAP vendor confirmation, or product specification.</w:t>
      </w:r>
    </w:p>
    <w:p>
      <w:pPr>
        <w:spacing w:before="120" w:after="120" w:line="288" w:lineRule="auto"/>
        <w:ind w:left="0"/>
        <w:jc w:val="left"/>
      </w:pPr>
      <w:r>
        <w:rPr>
          <w:rFonts w:eastAsia="等线" w:ascii="Arial" w:cs="Arial" w:hAnsi="Arial"/>
          <w:sz w:val="22"/>
        </w:rPr>
        <w:t xml:space="preserve">A feature marked </w:t>
      </w:r>
      <w:r>
        <w:rPr>
          <w:rFonts w:eastAsia="等线" w:ascii="Arial" w:cs="Arial" w:hAnsi="Arial"/>
          <w:b w:val="true"/>
          <w:sz w:val="22"/>
        </w:rPr>
        <w:t>LOCKED — INTERNAL BUILD SCOPE</w:t>
      </w:r>
      <w:r>
        <w:rPr>
          <w:rFonts w:eastAsia="等线" w:ascii="Arial" w:cs="Arial" w:hAnsi="Arial"/>
          <w:sz w:val="22"/>
        </w:rPr>
        <w:t xml:space="preserve"> means the build team should treat it as in scope. It does </w:t>
      </w:r>
      <w:r>
        <w:rPr>
          <w:rFonts w:eastAsia="等线" w:ascii="Arial" w:cs="Arial" w:hAnsi="Arial"/>
          <w:b w:val="true"/>
          <w:sz w:val="22"/>
        </w:rPr>
        <w:t>not</w:t>
      </w:r>
      <w:r>
        <w:rPr>
          <w:rFonts w:eastAsia="等线" w:ascii="Arial" w:cs="Arial" w:hAnsi="Arial"/>
          <w:sz w:val="22"/>
        </w:rPr>
        <w:t xml:space="preserve"> mean every field, layout, permission, UAT case, or configuration value is already complete.</w:t>
      </w:r>
    </w:p>
    <w:p>
      <w:pPr>
        <w:spacing w:before="120" w:after="120" w:line="288" w:lineRule="auto"/>
        <w:ind w:left="0"/>
        <w:jc w:val="left"/>
      </w:pPr>
      <w:r>
        <w:rPr>
          <w:rFonts w:eastAsia="等线" w:ascii="Arial" w:cs="Arial" w:hAnsi="Arial"/>
          <w:sz w:val="22"/>
        </w:rPr>
        <w:t xml:space="preserve">The key delivery risk is SAP integration and document accuracy, not whether the MAIA workflow should be built. MAIA will integrate with SAP using the agreed integration path, but MAIA will </w:t>
      </w:r>
      <w:r>
        <w:rPr>
          <w:rFonts w:eastAsia="等线" w:ascii="Arial" w:cs="Arial" w:hAnsi="Arial"/>
          <w:b w:val="true"/>
          <w:sz w:val="22"/>
        </w:rPr>
        <w:t>not</w:t>
      </w:r>
      <w:r>
        <w:rPr>
          <w:rFonts w:eastAsia="等线" w:ascii="Arial" w:cs="Arial" w:hAnsi="Arial"/>
          <w:sz w:val="22"/>
        </w:rPr>
        <w:t xml:space="preserve"> support custom UDF / UDH development inside vendor third-party software as part of base scope. If a vendor-side custom UDF / UDH limitation becomes a blocker, it must be raised and scoped as a separate customization.</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1. </w:t>
      </w:r>
      <w:r>
        <w:rPr>
          <w:rFonts w:eastAsia="等线" w:ascii="Arial" w:cs="Arial" w:hAnsi="Arial"/>
          <w:b w:val="true"/>
          <w:sz w:val="36"/>
        </w:rPr>
        <w:t>Source Manifest</w:t>
      </w:r>
      <w:bookmarkEnd w:id="2"/>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3" w:id="3"/>
      <w:r>
        <w:rPr>
          <w:rFonts w:eastAsia="等线" w:ascii="Arial" w:cs="Arial" w:hAnsi="Arial"/>
          <w:b w:val="true"/>
          <w:sz w:val="32"/>
        </w:rPr>
        <w:t>1.1 Citation Key Format</w:t>
      </w:r>
      <w:bookmarkEnd w:id="3"/>
    </w:p>
    <w:p>
      <w:pPr>
        <w:spacing w:before="120" w:after="120" w:line="288" w:lineRule="auto"/>
        <w:ind w:left="0"/>
        <w:jc w:val="left"/>
      </w:pPr>
      <w:r>
        <w:rPr>
          <w:rFonts w:eastAsia="等线" w:ascii="Arial" w:cs="Arial" w:hAnsi="Arial"/>
          <w:sz w:val="22"/>
        </w:rPr>
        <w:t>This document uses internal citation keys in this format:</w:t>
      </w:r>
    </w:p>
    <w:p>
      <w:pPr>
        <w:spacing w:before="120" w:after="120" w:line="288" w:lineRule="auto"/>
        <w:ind w:left="0"/>
        <w:jc w:val="left"/>
      </w:pPr>
      <w:r>
        <w:rPr>
          <w:rFonts w:eastAsia="Consolas" w:ascii="Consolas" w:cs="Consolas" w:hAnsi="Consolas"/>
          <w:sz w:val="22"/>
          <w:shd w:fill="EFF0F1"/>
        </w:rPr>
        <w:t>[SOURCE | topic]</w:t>
      </w:r>
    </w:p>
    <w:p>
      <w:pPr>
        <w:spacing w:before="120" w:after="120" w:line="288" w:lineRule="auto"/>
        <w:ind w:left="0"/>
        <w:jc w:val="left"/>
      </w:pPr>
      <w:r>
        <w:rPr>
          <w:rFonts w:eastAsia="等线" w:ascii="Arial" w:cs="Arial" w:hAnsi="Arial"/>
          <w:sz w:val="22"/>
        </w:rPr>
        <w:t>Example:</w:t>
      </w:r>
    </w:p>
    <w:p>
      <w:pPr>
        <w:spacing w:before="120" w:after="120" w:line="288" w:lineRule="auto"/>
        <w:ind w:left="0"/>
        <w:jc w:val="left"/>
      </w:pPr>
      <w:r>
        <w:rPr>
          <w:rFonts w:eastAsia="Consolas" w:ascii="Consolas" w:cs="Consolas" w:hAnsi="Consolas"/>
          <w:sz w:val="22"/>
          <w:shd w:fill="EFF0F1"/>
        </w:rPr>
        <w:t>[FF-RG-A | pricing / Blanket Agreement]</w:t>
      </w:r>
    </w:p>
    <w:p>
      <w:pPr>
        <w:spacing w:before="120" w:after="120" w:line="288" w:lineRule="auto"/>
        <w:ind w:left="0"/>
        <w:jc w:val="left"/>
      </w:pPr>
      <w:r>
        <w:rPr>
          <w:rFonts w:eastAsia="等线" w:ascii="Arial" w:cs="Arial" w:hAnsi="Arial"/>
          <w:sz w:val="22"/>
        </w:rPr>
        <w:t>This is a scope provenance system showing which source supports each scope position. It is not a verbatim quote system.</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2. </w:t>
      </w:r>
      <w:r>
        <w:rPr>
          <w:rFonts w:eastAsia="等线" w:ascii="Arial" w:cs="Arial" w:hAnsi="Arial"/>
          <w:b w:val="true"/>
          <w:sz w:val="36"/>
        </w:rPr>
        <w:t>Scope Lock Summary</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2.1 Status Counts</w:t>
      </w:r>
      <w:bookmarkEnd w:id="5"/>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2.2 Blocking Open Items</w:t>
      </w:r>
      <w:bookmarkEnd w:id="6"/>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7" w:id="7"/>
      <w:r>
        <w:rPr>
          <w:rFonts w:eastAsia="等线" w:ascii="Arial" w:cs="Arial" w:hAnsi="Arial"/>
          <w:b w:val="true"/>
          <w:sz w:val="32"/>
        </w:rPr>
        <w:t>2.3 Non-Blocking Technical Boundaries</w:t>
      </w:r>
      <w:bookmarkEnd w:id="7"/>
    </w:p>
    <w:p>
      <w:pPr>
        <w:spacing w:before="120" w:after="120" w:line="288" w:lineRule="auto"/>
        <w:ind w:left="0"/>
      </w:pPr>
      <w:r>
        <w:object>
          <v:shape id="_x0000_i1028" style="width:414pt;height:19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2.4 Top Client Confirmation Items</w:t>
      </w:r>
      <w:bookmarkEnd w:id="8"/>
    </w:p>
    <w:p>
      <w:pPr>
        <w:spacing w:before="120" w:after="120" w:line="288" w:lineRule="auto"/>
        <w:ind w:left="0"/>
        <w:jc w:val="left"/>
      </w:pPr>
      <w:r>
        <w:rPr>
          <w:rFonts w:eastAsia="等线" w:ascii="Arial" w:cs="Arial" w:hAnsi="Arial"/>
          <w:sz w:val="22"/>
        </w:rPr>
        <w:t>These are not broad discovery questions. They are confirmation items needed to close build behaviour.</w:t>
      </w:r>
    </w:p>
    <w:p>
      <w:pPr>
        <w:numPr>
          <w:numId w:val="3"/>
        </w:numPr>
        <w:spacing w:before="120" w:after="120" w:line="288" w:lineRule="auto"/>
        <w:ind w:left="0"/>
        <w:jc w:val="left"/>
      </w:pPr>
      <w:r>
        <w:rPr>
          <w:rFonts w:eastAsia="等线" w:ascii="Arial" w:cs="Arial" w:hAnsi="Arial"/>
          <w:sz w:val="22"/>
        </w:rPr>
        <w:t>Confirm exact GST document formats to be matched and provide sample PDFs/templates.</w:t>
      </w:r>
    </w:p>
    <w:p>
      <w:pPr>
        <w:numPr>
          <w:numId w:val="4"/>
        </w:numPr>
        <w:spacing w:before="120" w:after="120" w:line="288" w:lineRule="auto"/>
        <w:ind w:left="0"/>
        <w:jc w:val="left"/>
      </w:pPr>
      <w:r>
        <w:rPr>
          <w:rFonts w:eastAsia="等线" w:ascii="Arial" w:cs="Arial" w:hAnsi="Arial"/>
          <w:sz w:val="22"/>
        </w:rPr>
        <w:t>Walk through SAP Blanket Order / Blanket Agreement behaviour that MAIA must match.</w:t>
      </w:r>
    </w:p>
    <w:p>
      <w:pPr>
        <w:numPr>
          <w:numId w:val="5"/>
        </w:numPr>
        <w:spacing w:before="120" w:after="120" w:line="288" w:lineRule="auto"/>
        <w:ind w:left="0"/>
        <w:jc w:val="left"/>
      </w:pPr>
      <w:r>
        <w:rPr>
          <w:rFonts w:eastAsia="等线" w:ascii="Arial" w:cs="Arial" w:hAnsi="Arial"/>
          <w:sz w:val="22"/>
        </w:rPr>
        <w:t>Confirm acceptable SAP ↔ MAIA inventory sync cadence.</w:t>
      </w:r>
    </w:p>
    <w:p>
      <w:pPr>
        <w:numPr>
          <w:numId w:val="6"/>
        </w:numPr>
        <w:spacing w:before="120" w:after="120" w:line="288" w:lineRule="auto"/>
        <w:ind w:left="0"/>
        <w:jc w:val="left"/>
      </w:pPr>
      <w:r>
        <w:rPr>
          <w:rFonts w:eastAsia="等线" w:ascii="Arial" w:cs="Arial" w:hAnsi="Arial"/>
          <w:sz w:val="22"/>
        </w:rPr>
        <w:t>Confirm slow-moving stock definition by item category or days without movement.</w:t>
      </w:r>
    </w:p>
    <w:p>
      <w:pPr>
        <w:numPr>
          <w:numId w:val="7"/>
        </w:numPr>
        <w:spacing w:before="120" w:after="120" w:line="288" w:lineRule="auto"/>
        <w:ind w:left="0"/>
        <w:jc w:val="left"/>
      </w:pPr>
      <w:r>
        <w:rPr>
          <w:rFonts w:eastAsia="等线" w:ascii="Arial" w:cs="Arial" w:hAnsi="Arial"/>
          <w:sz w:val="22"/>
        </w:rPr>
        <w:t>Confirm SOA link settings: validity period, password method, revocation, and exposed document types.</w:t>
      </w:r>
    </w:p>
    <w:p>
      <w:pPr>
        <w:numPr>
          <w:numId w:val="8"/>
        </w:numPr>
        <w:spacing w:before="120" w:after="120" w:line="288" w:lineRule="auto"/>
        <w:ind w:left="0"/>
        <w:jc w:val="left"/>
      </w:pPr>
      <w:r>
        <w:rPr>
          <w:rFonts w:eastAsia="等线" w:ascii="Arial" w:cs="Arial" w:hAnsi="Arial"/>
          <w:sz w:val="22"/>
        </w:rPr>
        <w:t>Confirm which user roles can generate/revoke SOA links, retrieve invoices, create documents, and create payment entries.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3. </w:t>
      </w:r>
      <w:r>
        <w:rPr>
          <w:rFonts w:eastAsia="等线" w:ascii="Arial" w:cs="Arial" w:hAnsi="Arial"/>
          <w:b w:val="true"/>
          <w:sz w:val="36"/>
        </w:rPr>
        <w:t>Locked Operating Constraints</w:t>
      </w:r>
      <w:bookmarkEnd w:id="9"/>
    </w:p>
    <w:p>
      <w:pPr>
        <w:spacing w:before="120" w:after="120" w:line="288" w:lineRule="auto"/>
        <w:ind w:left="0"/>
        <w:jc w:val="left"/>
      </w:pPr>
      <w:r>
        <w:rPr>
          <w:rFonts w:eastAsia="等线" w:ascii="Arial" w:cs="Arial" w:hAnsi="Arial"/>
          <w:sz w:val="22"/>
        </w:rPr>
        <w:t>These are scope constraints that shape the whole build.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LOC-01 — MAIA sits above SAP B1</w:t>
      </w:r>
      <w:bookmarkEnd w:id="1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CLIENT-EVIDENCED OPERATING CONSTRAINT</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MAIA is not replacing SAP Business One. SAP remains the system of record for GST’s accounting, inventory, document, and operational backbone. MAIA operates as the coordination, intelligence, and workflow layer on top of SAP.</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[FF-PROP | MAIA above SAP]</w:t>
      </w:r>
      <w:r>
        <w:rPr>
          <w:rFonts w:eastAsia="等线" w:ascii="Arial" w:cs="Arial" w:hAnsi="Arial"/>
          <w:sz w:val="22"/>
        </w:rPr>
        <w:br/>
      </w:r>
      <w:r>
        <w:rPr>
          <w:rFonts w:eastAsia="Consolas" w:ascii="Consolas" w:cs="Consolas" w:hAnsi="Consolas"/>
          <w:sz w:val="22"/>
          <w:shd w:fill="EFF0F1"/>
        </w:rPr>
        <w:t>[FF-RG-A | SAP integration dependency]</w:t>
      </w:r>
      <w:r>
        <w:rPr>
          <w:rFonts w:eastAsia="等线" w:ascii="Arial" w:cs="Arial" w:hAnsi="Arial"/>
          <w:sz w:val="22"/>
        </w:rPr>
        <w:br/>
      </w:r>
      <w:r>
        <w:rPr>
          <w:rFonts w:eastAsia="Consolas" w:ascii="Consolas" w:cs="Consolas" w:hAnsi="Consolas"/>
          <w:sz w:val="22"/>
          <w:shd w:fill="EFF0F1"/>
        </w:rPr>
        <w:t>[SAP-VENDOR | MAIA → middleware → SAP architecture]</w:t>
      </w:r>
    </w:p>
    <w:p>
      <w:pPr>
        <w:spacing w:before="120" w:after="120" w:line="288" w:lineRule="auto"/>
        <w:ind w:left="0"/>
        <w:jc w:val="left"/>
      </w:pPr>
      <w:r>
        <w:rPr>
          <w:rFonts w:eastAsia="等线" w:ascii="Arial" w:cs="Arial" w:hAnsi="Arial"/>
          <w:b w:val="true"/>
          <w:sz w:val="22"/>
        </w:rPr>
        <w:t>Build implication:</w:t>
      </w:r>
      <w:r>
        <w:rPr>
          <w:rFonts w:eastAsia="等线" w:ascii="Arial" w:cs="Arial" w:hAnsi="Arial"/>
          <w:sz w:val="22"/>
        </w:rPr>
        <w:br/>
      </w:r>
      <w:r>
        <w:rPr>
          <w:rFonts w:eastAsia="等线" w:ascii="Arial" w:cs="Arial" w:hAnsi="Arial"/>
          <w:sz w:val="22"/>
        </w:rPr>
        <w:t>Any MAIA document, payment, inventory, pricing, customer, or order behaviour that affects the system of record must account for SAP sync or SAP writeback.</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LOC-02 — SAP integration is a core delivery path</w:t>
      </w:r>
      <w:bookmarkEnd w:id="1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CLIENT-EVIDENCED OPERATING CONSTRAINT</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SAP integration is required. GST’s pricing, item master, customer master, invoice records, stock positions, and document flows depend on SAP.</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SAP vendor required]</w:t>
      </w:r>
      <w:r>
        <w:rPr>
          <w:rFonts w:eastAsia="等线" w:ascii="Arial" w:cs="Arial" w:hAnsi="Arial"/>
          <w:sz w:val="22"/>
        </w:rPr>
        <w:br/>
      </w:r>
      <w:r>
        <w:rPr>
          <w:rFonts w:eastAsia="Consolas" w:ascii="Consolas" w:cs="Consolas" w:hAnsi="Consolas"/>
          <w:sz w:val="22"/>
          <w:shd w:fill="EFF0F1"/>
        </w:rPr>
        <w:t>[SAP-VENDOR | Service Layer / endpoint integration path]</w:t>
      </w:r>
    </w:p>
    <w:p>
      <w:pPr>
        <w:spacing w:before="120" w:after="120" w:line="288" w:lineRule="auto"/>
        <w:ind w:left="0"/>
        <w:jc w:val="left"/>
      </w:pPr>
      <w:r>
        <w:rPr>
          <w:rFonts w:eastAsia="等线" w:ascii="Arial" w:cs="Arial" w:hAnsi="Arial"/>
          <w:b w:val="true"/>
          <w:sz w:val="22"/>
        </w:rPr>
        <w:t>Build implication:</w:t>
      </w:r>
      <w:r>
        <w:rPr>
          <w:rFonts w:eastAsia="等线" w:ascii="Arial" w:cs="Arial" w:hAnsi="Arial"/>
          <w:sz w:val="22"/>
        </w:rPr>
        <w:br/>
      </w:r>
      <w:r>
        <w:rPr>
          <w:rFonts w:eastAsia="等线" w:ascii="Arial" w:cs="Arial" w:hAnsi="Arial"/>
          <w:sz w:val="22"/>
        </w:rPr>
        <w:t>Mindhive will build the MAIA workflows and integrate through the known SAP path. SAP endpoint coverage itself is not treated as an unresolved blocker in this Scope Lock.</w:t>
      </w:r>
    </w:p>
    <w:p>
      <w:pPr>
        <w:spacing w:before="120" w:after="120" w:line="288" w:lineRule="auto"/>
        <w:ind w:left="0"/>
        <w:jc w:val="left"/>
      </w:pPr>
      <w:r>
        <w:rPr>
          <w:rFonts w:eastAsia="等线" w:ascii="Arial" w:cs="Arial" w:hAnsi="Arial"/>
          <w:b w:val="true"/>
          <w:sz w:val="22"/>
        </w:rPr>
        <w:t>Boundary:</w:t>
      </w:r>
      <w:r>
        <w:rPr>
          <w:rFonts w:eastAsia="等线" w:ascii="Arial" w:cs="Arial" w:hAnsi="Arial"/>
          <w:sz w:val="22"/>
        </w:rPr>
        <w:br/>
      </w:r>
      <w:r>
        <w:rPr>
          <w:rFonts w:eastAsia="等线" w:ascii="Arial" w:cs="Arial" w:hAnsi="Arial"/>
          <w:sz w:val="22"/>
        </w:rPr>
        <w:t>MAIA will not support custom UDF / UDH development inside vendor third-party software as part of base scope. If such a limitation blocks delivery, it must be separately scoped.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LOC-03 — Phase 1 is Penang-first unless client changes rollout</w:t>
      </w:r>
      <w:bookmarkEnd w:id="1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CLIENT-EVIDENCED OPERATING CONSTRAINT</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The RG conversation framed the first rollout around Penang, especially because the B2B sales workflow and SAP pricing practices are clearest there.</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Penang-first rollout]</w:t>
      </w:r>
      <w:r>
        <w:rPr>
          <w:rFonts w:eastAsia="等线" w:ascii="Arial" w:cs="Arial" w:hAnsi="Arial"/>
          <w:sz w:val="22"/>
        </w:rPr>
        <w:br/>
      </w:r>
      <w:r>
        <w:rPr>
          <w:rFonts w:eastAsia="Consolas" w:ascii="Consolas" w:cs="Consolas" w:hAnsi="Consolas"/>
          <w:sz w:val="22"/>
          <w:shd w:fill="EFF0F1"/>
        </w:rPr>
        <w:t>[Q | business structure / branches]</w:t>
      </w:r>
    </w:p>
    <w:p>
      <w:pPr>
        <w:spacing w:before="120" w:after="120" w:line="288" w:lineRule="auto"/>
        <w:ind w:left="0"/>
        <w:jc w:val="left"/>
      </w:pPr>
      <w:r>
        <w:rPr>
          <w:rFonts w:eastAsia="等线" w:ascii="Arial" w:cs="Arial" w:hAnsi="Arial"/>
          <w:b w:val="true"/>
          <w:sz w:val="22"/>
        </w:rPr>
        <w:t>Build implication:</w:t>
      </w:r>
      <w:r>
        <w:rPr>
          <w:rFonts w:eastAsia="等线" w:ascii="Arial" w:cs="Arial" w:hAnsi="Arial"/>
          <w:sz w:val="22"/>
        </w:rPr>
        <w:br/>
      </w:r>
      <w:r>
        <w:rPr>
          <w:rFonts w:eastAsia="等线" w:ascii="Arial" w:cs="Arial" w:hAnsi="Arial"/>
          <w:sz w:val="22"/>
        </w:rPr>
        <w:t>Initial configuration, UAT, and sample data should use Penang-first assumptions unless GST explicitly confirms KL or multi-branch go-live.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LOC-04 — MAIA must respect SAP branch / data ownership</w:t>
      </w:r>
      <w:bookmarkEnd w:id="1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CLIENT-EVIDENCED OPERATING CONSTRAINT</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GST’s SAP structure uses branch / data ownership logic. Users and documents are associated with branch-level visibility and control.</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branch / data ownership]</w:t>
      </w:r>
      <w:r>
        <w:rPr>
          <w:rFonts w:eastAsia="等线" w:ascii="Arial" w:cs="Arial" w:hAnsi="Arial"/>
          <w:sz w:val="22"/>
        </w:rPr>
        <w:br/>
      </w:r>
      <w:r>
        <w:rPr>
          <w:rFonts w:eastAsia="Consolas" w:ascii="Consolas" w:cs="Consolas" w:hAnsi="Consolas"/>
          <w:sz w:val="22"/>
          <w:shd w:fill="EFF0F1"/>
        </w:rPr>
        <w:t>[RG-NOTES | SAP branch configuration]</w:t>
      </w:r>
    </w:p>
    <w:p>
      <w:pPr>
        <w:spacing w:before="120" w:after="120" w:line="288" w:lineRule="auto"/>
        <w:ind w:left="0"/>
        <w:jc w:val="left"/>
      </w:pPr>
      <w:r>
        <w:rPr>
          <w:rFonts w:eastAsia="等线" w:ascii="Arial" w:cs="Arial" w:hAnsi="Arial"/>
          <w:b w:val="true"/>
          <w:sz w:val="22"/>
        </w:rPr>
        <w:t>Build implication:</w:t>
      </w:r>
      <w:r>
        <w:rPr>
          <w:rFonts w:eastAsia="等线" w:ascii="Arial" w:cs="Arial" w:hAnsi="Arial"/>
          <w:sz w:val="22"/>
        </w:rPr>
        <w:br/>
      </w:r>
      <w:r>
        <w:rPr>
          <w:rFonts w:eastAsia="等线" w:ascii="Arial" w:cs="Arial" w:hAnsi="Arial"/>
          <w:sz w:val="22"/>
        </w:rPr>
        <w:t>MAIA must not expose all branch data to all users by default. User visibility and document access must respect branch permissions.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LOC-05 — Joey is the working internal implementation PIC</w:t>
      </w:r>
      <w:bookmarkEnd w:id="14"/>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CLIENT-EVIDENCED OPERATING CONSTRAINT</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Joey is the working implementation PIC / day-to-day coordination owner on GST’s side.</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project owner / Joey]</w:t>
      </w:r>
      <w:r>
        <w:rPr>
          <w:rFonts w:eastAsia="等线" w:ascii="Arial" w:cs="Arial" w:hAnsi="Arial"/>
          <w:sz w:val="22"/>
        </w:rPr>
        <w:br/>
      </w:r>
      <w:r>
        <w:rPr>
          <w:rFonts w:eastAsia="Consolas" w:ascii="Consolas" w:cs="Consolas" w:hAnsi="Consolas"/>
          <w:sz w:val="22"/>
          <w:shd w:fill="EFF0F1"/>
        </w:rPr>
        <w:t>[WA | RG scheduling / PIC coordination]</w:t>
      </w:r>
    </w:p>
    <w:p>
      <w:pPr>
        <w:spacing w:before="120" w:after="120" w:line="288" w:lineRule="auto"/>
        <w:ind w:left="0"/>
        <w:jc w:val="left"/>
      </w:pPr>
      <w:r>
        <w:rPr>
          <w:rFonts w:eastAsia="等线" w:ascii="Arial" w:cs="Arial" w:hAnsi="Arial"/>
          <w:b w:val="true"/>
          <w:sz w:val="22"/>
        </w:rPr>
        <w:t>Build implication:</w:t>
      </w:r>
      <w:r>
        <w:rPr>
          <w:rFonts w:eastAsia="等线" w:ascii="Arial" w:cs="Arial" w:hAnsi="Arial"/>
          <w:sz w:val="22"/>
        </w:rPr>
        <w:br/>
      </w:r>
      <w:r>
        <w:rPr>
          <w:rFonts w:eastAsia="等线" w:ascii="Arial" w:cs="Arial" w:hAnsi="Arial"/>
          <w:sz w:val="22"/>
        </w:rPr>
        <w:t>Sample collection, UAT coordination, and requirement confirmations should route through Joey unless GST assigns another owner.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LOC-06 — GST-side setup dependencies are required</w:t>
      </w:r>
      <w:bookmarkEnd w:id="1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CLIENT-EVIDENCED OPERATING CONSTRAINT</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GST must support setup of WhatsApp Business Account, OpenAI API, AWS account, and relevant phone/account access for MAIA deployment.</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WABA / AWS / OpenAI setup]</w:t>
      </w:r>
      <w:r>
        <w:rPr>
          <w:rFonts w:eastAsia="等线" w:ascii="Arial" w:cs="Arial" w:hAnsi="Arial"/>
          <w:sz w:val="22"/>
        </w:rPr>
        <w:br/>
      </w:r>
      <w:r>
        <w:rPr>
          <w:rFonts w:eastAsia="Consolas" w:ascii="Consolas" w:cs="Consolas" w:hAnsi="Consolas"/>
          <w:sz w:val="22"/>
          <w:shd w:fill="EFF0F1"/>
        </w:rPr>
        <w:t>[WA | WABA setup request]</w:t>
      </w:r>
    </w:p>
    <w:p>
      <w:pPr>
        <w:spacing w:before="120" w:after="120" w:line="288" w:lineRule="auto"/>
        <w:ind w:left="0"/>
        <w:jc w:val="left"/>
      </w:pPr>
      <w:r>
        <w:rPr>
          <w:rFonts w:eastAsia="等线" w:ascii="Arial" w:cs="Arial" w:hAnsi="Arial"/>
          <w:b w:val="true"/>
          <w:sz w:val="22"/>
        </w:rPr>
        <w:t>Build implication:</w:t>
      </w:r>
      <w:r>
        <w:rPr>
          <w:rFonts w:eastAsia="等线" w:ascii="Arial" w:cs="Arial" w:hAnsi="Arial"/>
          <w:sz w:val="22"/>
        </w:rPr>
        <w:br/>
      </w:r>
      <w:r>
        <w:rPr>
          <w:rFonts w:eastAsia="等线" w:ascii="Arial" w:cs="Arial" w:hAnsi="Arial"/>
          <w:sz w:val="22"/>
        </w:rPr>
        <w:t>Infrastructure readiness is a client-side dependency. Mindhive can assist setup, but cannot fully proceed without account ownership and access.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6" w:id="16"/>
      <w:r>
        <w:rPr>
          <w:rFonts w:eastAsia="等线" w:ascii="Arial" w:cs="Arial" w:hAnsi="Arial"/>
          <w:color w:val="3370ff"/>
          <w:sz w:val="36"/>
        </w:rPr>
        <w:t xml:space="preserve">4. </w:t>
      </w:r>
      <w:r>
        <w:rPr>
          <w:rFonts w:eastAsia="等线" w:ascii="Arial" w:cs="Arial" w:hAnsi="Arial"/>
          <w:b w:val="true"/>
          <w:sz w:val="36"/>
        </w:rPr>
        <w:t>Locked Scope</w:t>
      </w:r>
      <w:bookmarkEnd w:id="16"/>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SL-01 — Multi-format order / quotation intake and quotation draft</w:t>
      </w:r>
      <w:bookmarkEnd w:id="1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r>
    </w:p>
    <w:p>
      <w:pPr>
        <w:spacing w:before="120" w:after="120" w:line="288" w:lineRule="auto"/>
        <w:ind w:left="0"/>
        <w:jc w:val="left"/>
      </w:pPr>
      <w:r>
        <w:rPr>
          <w:rFonts w:eastAsia="等线" w:ascii="Arial" w:cs="Arial" w:hAnsi="Arial"/>
          <w:b w:val="true"/>
          <w:sz w:val="22"/>
        </w:rPr>
        <w:t>Scope definition:</w:t>
      </w:r>
      <w:r>
        <w:rPr>
          <w:rFonts w:eastAsia="等线" w:ascii="Arial" w:cs="Arial" w:hAnsi="Arial"/>
          <w:sz w:val="22"/>
        </w:rPr>
        <w:br/>
      </w:r>
      <w:r>
        <w:rPr>
          <w:rFonts w:eastAsia="等线" w:ascii="Arial" w:cs="Arial" w:hAnsi="Arial"/>
          <w:sz w:val="22"/>
        </w:rPr>
        <w:t>Users can upload or forward an order request into MAIA. Supported order request inputs include:</w:t>
      </w:r>
    </w:p>
    <w:p>
      <w:pPr>
        <w:numPr>
          <w:numId w:val="9"/>
        </w:numPr>
        <w:spacing w:before="120" w:after="120" w:line="288" w:lineRule="auto"/>
        <w:ind w:left="0"/>
        <w:jc w:val="left"/>
      </w:pPr>
      <w:r>
        <w:rPr>
          <w:rFonts w:eastAsia="等线" w:ascii="Arial" w:cs="Arial" w:hAnsi="Arial"/>
          <w:sz w:val="22"/>
        </w:rPr>
        <w:t>quotation document;</w:t>
      </w:r>
    </w:p>
    <w:p>
      <w:pPr>
        <w:numPr>
          <w:numId w:val="10"/>
        </w:numPr>
        <w:spacing w:before="120" w:after="120" w:line="288" w:lineRule="auto"/>
        <w:ind w:left="0"/>
        <w:jc w:val="left"/>
      </w:pPr>
      <w:r>
        <w:rPr>
          <w:rFonts w:eastAsia="等线" w:ascii="Arial" w:cs="Arial" w:hAnsi="Arial"/>
          <w:sz w:val="22"/>
        </w:rPr>
        <w:t>handwritten document;</w:t>
      </w:r>
    </w:p>
    <w:p>
      <w:pPr>
        <w:numPr>
          <w:numId w:val="11"/>
        </w:numPr>
        <w:spacing w:before="120" w:after="120" w:line="288" w:lineRule="auto"/>
        <w:ind w:left="0"/>
        <w:jc w:val="left"/>
      </w:pPr>
      <w:r>
        <w:rPr>
          <w:rFonts w:eastAsia="等线" w:ascii="Arial" w:cs="Arial" w:hAnsi="Arial"/>
          <w:sz w:val="22"/>
        </w:rPr>
        <w:t>WhatsApp message;</w:t>
      </w:r>
    </w:p>
    <w:p>
      <w:pPr>
        <w:numPr>
          <w:numId w:val="12"/>
        </w:numPr>
        <w:spacing w:before="120" w:after="120" w:line="288" w:lineRule="auto"/>
        <w:ind w:left="0"/>
        <w:jc w:val="left"/>
      </w:pPr>
      <w:r>
        <w:rPr>
          <w:rFonts w:eastAsia="等线" w:ascii="Arial" w:cs="Arial" w:hAnsi="Arial"/>
          <w:sz w:val="22"/>
        </w:rPr>
        <w:t>other supported order request artefacts where parsing is technically feasible.</w:t>
      </w:r>
    </w:p>
    <w:p>
      <w:pPr>
        <w:spacing w:before="120" w:after="120" w:line="288" w:lineRule="auto"/>
        <w:ind w:left="0"/>
        <w:jc w:val="left"/>
      </w:pPr>
      <w:r>
        <w:rPr>
          <w:rFonts w:eastAsia="等线" w:ascii="Arial" w:cs="Arial" w:hAnsi="Arial"/>
          <w:sz w:val="22"/>
        </w:rPr>
        <w:t>MAIA will extract the order intent and draft a quotation for the user.</w:t>
      </w:r>
    </w:p>
    <w:p>
      <w:pPr>
        <w:spacing w:before="120" w:after="120" w:line="288" w:lineRule="auto"/>
        <w:ind w:left="0"/>
        <w:jc w:val="left"/>
      </w:pPr>
      <w:r>
        <w:rPr>
          <w:rFonts w:eastAsia="等线" w:ascii="Arial" w:cs="Arial" w:hAnsi="Arial"/>
          <w:b w:val="true"/>
          <w:sz w:val="22"/>
        </w:rPr>
        <w:t>User responsibility:</w:t>
      </w:r>
      <w:r>
        <w:rPr>
          <w:rFonts w:eastAsia="等线" w:ascii="Arial" w:cs="Arial" w:hAnsi="Arial"/>
          <w:sz w:val="22"/>
        </w:rPr>
        <w:br/>
      </w:r>
      <w:r>
        <w:rPr>
          <w:rFonts w:eastAsia="等线" w:ascii="Arial" w:cs="Arial" w:hAnsi="Arial"/>
          <w:sz w:val="22"/>
        </w:rPr>
        <w:t>The user remains responsible for checking and confirming the order to ensure accuracy before any quotation is finalized, sent, or converted downstream.</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quotation intake / order request channels]</w:t>
      </w:r>
      <w:r>
        <w:rPr>
          <w:rFonts w:eastAsia="等线" w:ascii="Arial" w:cs="Arial" w:hAnsi="Arial"/>
          <w:sz w:val="22"/>
        </w:rPr>
        <w:br/>
      </w:r>
      <w:r>
        <w:rPr>
          <w:rFonts w:eastAsia="Consolas" w:ascii="Consolas" w:cs="Consolas" w:hAnsi="Consolas"/>
          <w:sz w:val="22"/>
          <w:shd w:fill="EFF0F1"/>
        </w:rPr>
        <w:t>[Mindhive internal decision | AIP-01]</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Customer sends order request → user uploads or forwards request into MAIA → MAIA parses the request → MAIA drafts quotation lines → user reviews item, quantity, customer, price, remarks, and delivery details → user confirms or edits → quotation proceeds.</w:t>
      </w:r>
    </w:p>
    <w:p>
      <w:pPr>
        <w:spacing w:before="120" w:after="120" w:line="288" w:lineRule="auto"/>
        <w:ind w:left="0"/>
        <w:jc w:val="left"/>
      </w:pPr>
      <w:r>
        <w:rPr>
          <w:rFonts w:eastAsia="等线" w:ascii="Arial" w:cs="Arial" w:hAnsi="Arial"/>
          <w:b w:val="true"/>
          <w:sz w:val="22"/>
        </w:rPr>
        <w:t>Acceptance criteria:</w:t>
      </w:r>
    </w:p>
    <w:p>
      <w:pPr>
        <w:numPr>
          <w:numId w:val="13"/>
        </w:numPr>
        <w:spacing w:before="120" w:after="120" w:line="288" w:lineRule="auto"/>
        <w:ind w:left="0"/>
        <w:jc w:val="left"/>
      </w:pPr>
      <w:r>
        <w:rPr>
          <w:rFonts w:eastAsia="等线" w:ascii="Arial" w:cs="Arial" w:hAnsi="Arial"/>
          <w:sz w:val="22"/>
        </w:rPr>
        <w:t>MAIA supports agreed Phase 1 upload / forwarding channels.</w:t>
      </w:r>
    </w:p>
    <w:p>
      <w:pPr>
        <w:numPr>
          <w:numId w:val="14"/>
        </w:numPr>
        <w:spacing w:before="120" w:after="120" w:line="288" w:lineRule="auto"/>
        <w:ind w:left="0"/>
        <w:jc w:val="left"/>
      </w:pPr>
      <w:r>
        <w:rPr>
          <w:rFonts w:eastAsia="等线" w:ascii="Arial" w:cs="Arial" w:hAnsi="Arial"/>
          <w:sz w:val="22"/>
        </w:rPr>
        <w:t>MAIA drafts editable quotation lines.</w:t>
      </w:r>
    </w:p>
    <w:p>
      <w:pPr>
        <w:numPr>
          <w:numId w:val="15"/>
        </w:numPr>
        <w:spacing w:before="120" w:after="120" w:line="288" w:lineRule="auto"/>
        <w:ind w:left="0"/>
        <w:jc w:val="left"/>
      </w:pPr>
      <w:r>
        <w:rPr>
          <w:rFonts w:eastAsia="等线" w:ascii="Arial" w:cs="Arial" w:hAnsi="Arial"/>
          <w:sz w:val="22"/>
        </w:rPr>
        <w:t>User can edit all extracted fields before confirmation.</w:t>
      </w:r>
    </w:p>
    <w:p>
      <w:pPr>
        <w:numPr>
          <w:numId w:val="16"/>
        </w:numPr>
        <w:spacing w:before="120" w:after="120" w:line="288" w:lineRule="auto"/>
        <w:ind w:left="0"/>
        <w:jc w:val="left"/>
      </w:pPr>
      <w:r>
        <w:rPr>
          <w:rFonts w:eastAsia="等线" w:ascii="Arial" w:cs="Arial" w:hAnsi="Arial"/>
          <w:sz w:val="22"/>
        </w:rPr>
        <w:t>MAIA does not auto-finalize quotation without user confirmation.</w:t>
      </w:r>
    </w:p>
    <w:p>
      <w:pPr>
        <w:numPr>
          <w:numId w:val="17"/>
        </w:numPr>
        <w:spacing w:before="120" w:after="120" w:line="288" w:lineRule="auto"/>
        <w:ind w:left="0"/>
        <w:jc w:val="left"/>
      </w:pPr>
      <w:r>
        <w:rPr>
          <w:rFonts w:eastAsia="等线" w:ascii="Arial" w:cs="Arial" w:hAnsi="Arial"/>
          <w:sz w:val="22"/>
        </w:rPr>
        <w:t>UI clearly communicates that user review is required.</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on scope; MEDIUM on input-format performance until sample documents are received.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b w:val="true"/>
          <w:sz w:val="32"/>
        </w:rPr>
        <w:t>SL-02 — Item suggestion using RAG / item master retrieval</w:t>
      </w:r>
      <w:bookmarkEnd w:id="1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r>
    </w:p>
    <w:p>
      <w:pPr>
        <w:spacing w:before="120" w:after="120" w:line="288" w:lineRule="auto"/>
        <w:ind w:left="0"/>
        <w:jc w:val="left"/>
      </w:pPr>
      <w:r>
        <w:rPr>
          <w:rFonts w:eastAsia="等线" w:ascii="Arial" w:cs="Arial" w:hAnsi="Arial"/>
          <w:b w:val="true"/>
          <w:sz w:val="22"/>
        </w:rPr>
        <w:t>Scope definition:</w:t>
      </w:r>
      <w:r>
        <w:rPr>
          <w:rFonts w:eastAsia="等线" w:ascii="Arial" w:cs="Arial" w:hAnsi="Arial"/>
          <w:sz w:val="22"/>
        </w:rPr>
        <w:br/>
      </w:r>
      <w:r>
        <w:rPr>
          <w:rFonts w:eastAsia="等线" w:ascii="Arial" w:cs="Arial" w:hAnsi="Arial"/>
          <w:sz w:val="22"/>
        </w:rPr>
        <w:t>MAIA will use item RAG search / retrieval against GST’s item master database to suggest matching or similar items.</w:t>
      </w:r>
    </w:p>
    <w:p>
      <w:pPr>
        <w:spacing w:before="120" w:after="120" w:line="288" w:lineRule="auto"/>
        <w:ind w:left="0"/>
        <w:jc w:val="left"/>
      </w:pPr>
      <w:r>
        <w:rPr>
          <w:rFonts w:eastAsia="等线" w:ascii="Arial" w:cs="Arial" w:hAnsi="Arial"/>
          <w:sz w:val="22"/>
        </w:rPr>
        <w:t>The quality of suggestions depends on:</w:t>
      </w:r>
    </w:p>
    <w:p>
      <w:pPr>
        <w:numPr>
          <w:numId w:val="18"/>
        </w:numPr>
        <w:spacing w:before="120" w:after="120" w:line="288" w:lineRule="auto"/>
        <w:ind w:left="0"/>
        <w:jc w:val="left"/>
      </w:pPr>
      <w:r>
        <w:rPr>
          <w:rFonts w:eastAsia="等线" w:ascii="Arial" w:cs="Arial" w:hAnsi="Arial"/>
          <w:sz w:val="22"/>
        </w:rPr>
        <w:t>completeness of GST’s item master;</w:t>
      </w:r>
    </w:p>
    <w:p>
      <w:pPr>
        <w:numPr>
          <w:numId w:val="19"/>
        </w:numPr>
        <w:spacing w:before="120" w:after="120" w:line="288" w:lineRule="auto"/>
        <w:ind w:left="0"/>
        <w:jc w:val="left"/>
      </w:pPr>
      <w:r>
        <w:rPr>
          <w:rFonts w:eastAsia="等线" w:ascii="Arial" w:cs="Arial" w:hAnsi="Arial"/>
          <w:sz w:val="22"/>
        </w:rPr>
        <w:t>quality of item names;</w:t>
      </w:r>
    </w:p>
    <w:p>
      <w:pPr>
        <w:numPr>
          <w:numId w:val="20"/>
        </w:numPr>
        <w:spacing w:before="120" w:after="120" w:line="288" w:lineRule="auto"/>
        <w:ind w:left="0"/>
        <w:jc w:val="left"/>
      </w:pPr>
      <w:r>
        <w:rPr>
          <w:rFonts w:eastAsia="等线" w:ascii="Arial" w:cs="Arial" w:hAnsi="Arial"/>
          <w:sz w:val="22"/>
        </w:rPr>
        <w:t>enriched item descriptions;</w:t>
      </w:r>
    </w:p>
    <w:p>
      <w:pPr>
        <w:numPr>
          <w:numId w:val="21"/>
        </w:numPr>
        <w:spacing w:before="120" w:after="120" w:line="288" w:lineRule="auto"/>
        <w:ind w:left="0"/>
        <w:jc w:val="left"/>
      </w:pPr>
      <w:r>
        <w:rPr>
          <w:rFonts w:eastAsia="等线" w:ascii="Arial" w:cs="Arial" w:hAnsi="Arial"/>
          <w:sz w:val="22"/>
        </w:rPr>
        <w:t>captured attributes;</w:t>
      </w:r>
    </w:p>
    <w:p>
      <w:pPr>
        <w:numPr>
          <w:numId w:val="22"/>
        </w:numPr>
        <w:spacing w:before="120" w:after="120" w:line="288" w:lineRule="auto"/>
        <w:ind w:left="0"/>
        <w:jc w:val="left"/>
      </w:pPr>
      <w:r>
        <w:rPr>
          <w:rFonts w:eastAsia="等线" w:ascii="Arial" w:cs="Arial" w:hAnsi="Arial"/>
          <w:sz w:val="22"/>
        </w:rPr>
        <w:t>retrieval quality;</w:t>
      </w:r>
    </w:p>
    <w:p>
      <w:pPr>
        <w:numPr>
          <w:numId w:val="23"/>
        </w:numPr>
        <w:spacing w:before="120" w:after="120" w:line="288" w:lineRule="auto"/>
        <w:ind w:left="0"/>
        <w:jc w:val="left"/>
      </w:pPr>
      <w:r>
        <w:rPr>
          <w:rFonts w:eastAsia="等线" w:ascii="Arial" w:cs="Arial" w:hAnsi="Arial"/>
          <w:sz w:val="22"/>
        </w:rPr>
        <w:t>data hygiene.</w:t>
      </w:r>
    </w:p>
    <w:p>
      <w:pPr>
        <w:spacing w:before="120" w:after="120" w:line="288" w:lineRule="auto"/>
        <w:ind w:left="0"/>
        <w:jc w:val="left"/>
      </w:pPr>
      <w:r>
        <w:rPr>
          <w:rFonts w:eastAsia="等线" w:ascii="Arial" w:cs="Arial" w:hAnsi="Arial"/>
          <w:b w:val="true"/>
          <w:sz w:val="22"/>
        </w:rPr>
        <w:t>Important limitation:</w:t>
      </w:r>
      <w:r>
        <w:rPr>
          <w:rFonts w:eastAsia="等线" w:ascii="Arial" w:cs="Arial" w:hAnsi="Arial"/>
          <w:sz w:val="22"/>
        </w:rPr>
        <w:br/>
      </w:r>
      <w:r>
        <w:rPr>
          <w:rFonts w:eastAsia="等线" w:ascii="Arial" w:cs="Arial" w:hAnsi="Arial"/>
          <w:sz w:val="22"/>
        </w:rPr>
        <w:t>MAIA does not guarantee perfect matching. Suggestions are retrieval-based and highly dependent on the quality of the item master.</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product matching / item master]</w:t>
      </w:r>
      <w:r>
        <w:rPr>
          <w:rFonts w:eastAsia="等线" w:ascii="Arial" w:cs="Arial" w:hAnsi="Arial"/>
          <w:sz w:val="22"/>
        </w:rPr>
        <w:br/>
      </w:r>
      <w:r>
        <w:rPr>
          <w:rFonts w:eastAsia="Consolas" w:ascii="Consolas" w:cs="Consolas" w:hAnsi="Consolas"/>
          <w:sz w:val="22"/>
          <w:shd w:fill="EFF0F1"/>
        </w:rPr>
        <w:t>[Mindhive internal decision | AIP-02]</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User uploads order request → MAIA extracts item text → MAIA searches item master → MAIA suggests likely or similar items → user confirms or overrides → selected item enters quotation / order document.</w:t>
      </w:r>
    </w:p>
    <w:p>
      <w:pPr>
        <w:spacing w:before="120" w:after="120" w:line="288" w:lineRule="auto"/>
        <w:ind w:left="0"/>
        <w:jc w:val="left"/>
      </w:pPr>
      <w:r>
        <w:rPr>
          <w:rFonts w:eastAsia="等线" w:ascii="Arial" w:cs="Arial" w:hAnsi="Arial"/>
          <w:b w:val="true"/>
          <w:sz w:val="22"/>
        </w:rPr>
        <w:t>Acceptance criteria:</w:t>
      </w:r>
    </w:p>
    <w:p>
      <w:pPr>
        <w:numPr>
          <w:numId w:val="24"/>
        </w:numPr>
        <w:spacing w:before="120" w:after="120" w:line="288" w:lineRule="auto"/>
        <w:ind w:left="0"/>
        <w:jc w:val="left"/>
      </w:pPr>
      <w:r>
        <w:rPr>
          <w:rFonts w:eastAsia="等线" w:ascii="Arial" w:cs="Arial" w:hAnsi="Arial"/>
          <w:sz w:val="22"/>
        </w:rPr>
        <w:t>MAIA returns suggested item matches from the item master.</w:t>
      </w:r>
    </w:p>
    <w:p>
      <w:pPr>
        <w:numPr>
          <w:numId w:val="25"/>
        </w:numPr>
        <w:spacing w:before="120" w:after="120" w:line="288" w:lineRule="auto"/>
        <w:ind w:left="0"/>
        <w:jc w:val="left"/>
      </w:pPr>
      <w:r>
        <w:rPr>
          <w:rFonts w:eastAsia="等线" w:ascii="Arial" w:cs="Arial" w:hAnsi="Arial"/>
          <w:sz w:val="22"/>
        </w:rPr>
        <w:t>User can select, reject, or override suggestions.</w:t>
      </w:r>
    </w:p>
    <w:p>
      <w:pPr>
        <w:numPr>
          <w:numId w:val="26"/>
        </w:numPr>
        <w:spacing w:before="120" w:after="120" w:line="288" w:lineRule="auto"/>
        <w:ind w:left="0"/>
        <w:jc w:val="left"/>
      </w:pPr>
      <w:r>
        <w:rPr>
          <w:rFonts w:eastAsia="等线" w:ascii="Arial" w:cs="Arial" w:hAnsi="Arial"/>
          <w:sz w:val="22"/>
        </w:rPr>
        <w:t>MAIA does not silently substitute items.</w:t>
      </w:r>
    </w:p>
    <w:p>
      <w:pPr>
        <w:numPr>
          <w:numId w:val="27"/>
        </w:numPr>
        <w:spacing w:before="120" w:after="120" w:line="288" w:lineRule="auto"/>
        <w:ind w:left="0"/>
        <w:jc w:val="left"/>
      </w:pPr>
      <w:r>
        <w:rPr>
          <w:rFonts w:eastAsia="等线" w:ascii="Arial" w:cs="Arial" w:hAnsi="Arial"/>
          <w:sz w:val="22"/>
        </w:rPr>
        <w:t>UI / documentation states that suggestion performance depends on item master quality.</w:t>
      </w:r>
    </w:p>
    <w:p>
      <w:pPr>
        <w:numPr>
          <w:numId w:val="28"/>
        </w:numPr>
        <w:spacing w:before="120" w:after="120" w:line="288" w:lineRule="auto"/>
        <w:ind w:left="0"/>
        <w:jc w:val="left"/>
      </w:pPr>
      <w:r>
        <w:rPr>
          <w:rFonts w:eastAsia="等线" w:ascii="Arial" w:cs="Arial" w:hAnsi="Arial"/>
          <w:sz w:val="22"/>
        </w:rPr>
        <w:t>Enriched item description fields are available for retrieval where provided.</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on scope; MEDIUM on performance because data quality is external dependency.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b w:val="true"/>
          <w:sz w:val="32"/>
        </w:rPr>
        <w:t>SL-03 — SAP-style Blanket Order / Blanket Agreement support</w:t>
      </w:r>
      <w:bookmarkEnd w:id="1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r>
    </w:p>
    <w:p>
      <w:pPr>
        <w:spacing w:before="120" w:after="120" w:line="288" w:lineRule="auto"/>
        <w:ind w:left="0"/>
        <w:jc w:val="left"/>
      </w:pPr>
      <w:r>
        <w:rPr>
          <w:rFonts w:eastAsia="等线" w:ascii="Arial" w:cs="Arial" w:hAnsi="Arial"/>
          <w:b w:val="true"/>
          <w:sz w:val="22"/>
        </w:rPr>
        <w:t>Scope definition:</w:t>
      </w:r>
      <w:r>
        <w:rPr>
          <w:rFonts w:eastAsia="等线" w:ascii="Arial" w:cs="Arial" w:hAnsi="Arial"/>
          <w:sz w:val="22"/>
        </w:rPr>
        <w:br/>
      </w:r>
      <w:r>
        <w:rPr>
          <w:rFonts w:eastAsia="等线" w:ascii="Arial" w:cs="Arial" w:hAnsi="Arial"/>
          <w:sz w:val="22"/>
        </w:rPr>
        <w:t>Mindhive will build or extend MAIA Blanket Order / Blanket Agreement support to match the relevant SAP functionality used by GST.</w:t>
      </w:r>
    </w:p>
    <w:p>
      <w:pPr>
        <w:spacing w:before="120" w:after="120" w:line="288" w:lineRule="auto"/>
        <w:ind w:left="0"/>
        <w:jc w:val="left"/>
      </w:pPr>
      <w:r>
        <w:rPr>
          <w:rFonts w:eastAsia="等线" w:ascii="Arial" w:cs="Arial" w:hAnsi="Arial"/>
          <w:sz w:val="22"/>
        </w:rPr>
        <w:t>GST’s SAP Blanket Order / Blanket Agreement functionality is richer than MAIA’s current capability. MAIA must be extended to match GST’s required behaviour rather than forcing GST into MAIA’s existing lighter model.</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pricing / Blanket Agreement]</w:t>
      </w:r>
      <w:r>
        <w:rPr>
          <w:rFonts w:eastAsia="等线" w:ascii="Arial" w:cs="Arial" w:hAnsi="Arial"/>
          <w:sz w:val="22"/>
        </w:rPr>
        <w:br/>
      </w:r>
      <w:r>
        <w:rPr>
          <w:rFonts w:eastAsia="Consolas" w:ascii="Consolas" w:cs="Consolas" w:hAnsi="Consolas"/>
          <w:sz w:val="22"/>
          <w:shd w:fill="EFF0F1"/>
        </w:rPr>
        <w:t>[Mindhive internal decision | AIP-03]</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User creates quotation / order for a customer → MAIA checks applicable Blanket Order / Agreement → MAIA applies relevant customer/item agreed terms → user reviews → document proceeds → SAP writeback preserves required Blanket Order / Agreement linkage or behaviour.</w:t>
      </w:r>
    </w:p>
    <w:p>
      <w:pPr>
        <w:spacing w:before="120" w:after="120" w:line="288" w:lineRule="auto"/>
        <w:ind w:left="0"/>
        <w:jc w:val="left"/>
      </w:pPr>
      <w:r>
        <w:rPr>
          <w:rFonts w:eastAsia="等线" w:ascii="Arial" w:cs="Arial" w:hAnsi="Arial"/>
          <w:b w:val="true"/>
          <w:sz w:val="22"/>
        </w:rPr>
        <w:t>Acceptance criteria:</w:t>
      </w:r>
    </w:p>
    <w:p>
      <w:pPr>
        <w:numPr>
          <w:numId w:val="29"/>
        </w:numPr>
        <w:spacing w:before="120" w:after="120" w:line="288" w:lineRule="auto"/>
        <w:ind w:left="0"/>
        <w:jc w:val="left"/>
      </w:pPr>
      <w:r>
        <w:rPr>
          <w:rFonts w:eastAsia="等线" w:ascii="Arial" w:cs="Arial" w:hAnsi="Arial"/>
          <w:sz w:val="22"/>
        </w:rPr>
        <w:t>MAIA supports required GST Blanket Order / Agreement fields.</w:t>
      </w:r>
    </w:p>
    <w:p>
      <w:pPr>
        <w:numPr>
          <w:numId w:val="30"/>
        </w:numPr>
        <w:spacing w:before="120" w:after="120" w:line="288" w:lineRule="auto"/>
        <w:ind w:left="0"/>
        <w:jc w:val="left"/>
      </w:pPr>
      <w:r>
        <w:rPr>
          <w:rFonts w:eastAsia="等线" w:ascii="Arial" w:cs="Arial" w:hAnsi="Arial"/>
          <w:sz w:val="22"/>
        </w:rPr>
        <w:t>MAIA can apply customer/item agreement data during quotation or order creation.</w:t>
      </w:r>
    </w:p>
    <w:p>
      <w:pPr>
        <w:numPr>
          <w:numId w:val="31"/>
        </w:numPr>
        <w:spacing w:before="120" w:after="120" w:line="288" w:lineRule="auto"/>
        <w:ind w:left="0"/>
        <w:jc w:val="left"/>
      </w:pPr>
      <w:r>
        <w:rPr>
          <w:rFonts w:eastAsia="等线" w:ascii="Arial" w:cs="Arial" w:hAnsi="Arial"/>
          <w:sz w:val="22"/>
        </w:rPr>
        <w:t>MAIA behaviour aligns with SAP-side agreement logic.</w:t>
      </w:r>
    </w:p>
    <w:p>
      <w:pPr>
        <w:numPr>
          <w:numId w:val="32"/>
        </w:numPr>
        <w:spacing w:before="120" w:after="120" w:line="288" w:lineRule="auto"/>
        <w:ind w:left="0"/>
        <w:jc w:val="left"/>
      </w:pPr>
      <w:r>
        <w:rPr>
          <w:rFonts w:eastAsia="等线" w:ascii="Arial" w:cs="Arial" w:hAnsi="Arial"/>
          <w:sz w:val="22"/>
        </w:rPr>
        <w:t>SAP writeback preserves necessary references and traceability.</w:t>
      </w:r>
    </w:p>
    <w:p>
      <w:pPr>
        <w:numPr>
          <w:numId w:val="33"/>
        </w:numPr>
        <w:spacing w:before="120" w:after="120" w:line="288" w:lineRule="auto"/>
        <w:ind w:left="0"/>
        <w:jc w:val="left"/>
      </w:pPr>
      <w:r>
        <w:rPr>
          <w:rFonts w:eastAsia="等线" w:ascii="Arial" w:cs="Arial" w:hAnsi="Arial"/>
          <w:sz w:val="22"/>
        </w:rPr>
        <w:t>Missing or expired agreement cases are surfaced to the user.</w:t>
      </w:r>
    </w:p>
    <w:p>
      <w:pPr>
        <w:spacing w:before="120" w:after="120" w:line="288" w:lineRule="auto"/>
        <w:ind w:left="0"/>
        <w:jc w:val="left"/>
      </w:pPr>
      <w:r>
        <w:rPr>
          <w:rFonts w:eastAsia="等线" w:ascii="Arial" w:cs="Arial" w:hAnsi="Arial"/>
          <w:b w:val="true"/>
          <w:sz w:val="22"/>
        </w:rPr>
        <w:t>Pending technical mapping:</w:t>
      </w:r>
      <w:r>
        <w:rPr>
          <w:rFonts w:eastAsia="等线" w:ascii="Arial" w:cs="Arial" w:hAnsi="Arial"/>
          <w:sz w:val="22"/>
        </w:rPr>
        <w:br/>
      </w:r>
      <w:r>
        <w:rPr>
          <w:rFonts w:eastAsia="等线" w:ascii="Arial" w:cs="Arial" w:hAnsi="Arial"/>
          <w:sz w:val="22"/>
        </w:rPr>
        <w:t>GST SAP Blanket Order / Agreement behaviour must be walked through and mapped.</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on internal scope; MEDIUM on implementation until SAP behaviour is mapped.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SL-04 — Credit approval / approval workflow behaviour in MAIA</w:t>
      </w:r>
      <w:bookmarkEnd w:id="2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r>
    </w:p>
    <w:p>
      <w:pPr>
        <w:spacing w:before="120" w:after="120" w:line="288" w:lineRule="auto"/>
        <w:ind w:left="0"/>
        <w:jc w:val="left"/>
      </w:pPr>
      <w:r>
        <w:rPr>
          <w:rFonts w:eastAsia="等线" w:ascii="Arial" w:cs="Arial" w:hAnsi="Arial"/>
          <w:b w:val="true"/>
          <w:sz w:val="22"/>
        </w:rPr>
        <w:t>Scope definition:</w:t>
      </w:r>
      <w:r>
        <w:rPr>
          <w:rFonts w:eastAsia="等线" w:ascii="Arial" w:cs="Arial" w:hAnsi="Arial"/>
          <w:sz w:val="22"/>
        </w:rPr>
        <w:br/>
      </w:r>
      <w:r>
        <w:rPr>
          <w:rFonts w:eastAsia="等线" w:ascii="Arial" w:cs="Arial" w:hAnsi="Arial"/>
          <w:sz w:val="22"/>
        </w:rPr>
        <w:t>MAIA will support structured approval workflow behaviour for cases that require credit or operational approval.</w:t>
      </w:r>
    </w:p>
    <w:p>
      <w:pPr>
        <w:spacing w:before="120" w:after="120" w:line="288" w:lineRule="auto"/>
        <w:ind w:left="0"/>
        <w:jc w:val="left"/>
      </w:pPr>
      <w:r>
        <w:rPr>
          <w:rFonts w:eastAsia="等线" w:ascii="Arial" w:cs="Arial" w:hAnsi="Arial"/>
          <w:sz w:val="22"/>
        </w:rPr>
        <w:t>This includes:</w:t>
      </w:r>
    </w:p>
    <w:p>
      <w:pPr>
        <w:numPr>
          <w:numId w:val="34"/>
        </w:numPr>
        <w:spacing w:before="120" w:after="120" w:line="288" w:lineRule="auto"/>
        <w:ind w:left="0"/>
        <w:jc w:val="left"/>
      </w:pPr>
      <w:r>
        <w:rPr>
          <w:rFonts w:eastAsia="等线" w:ascii="Arial" w:cs="Arial" w:hAnsi="Arial"/>
          <w:sz w:val="22"/>
        </w:rPr>
        <w:t>approval-required status;</w:t>
      </w:r>
    </w:p>
    <w:p>
      <w:pPr>
        <w:numPr>
          <w:numId w:val="35"/>
        </w:numPr>
        <w:spacing w:before="120" w:after="120" w:line="288" w:lineRule="auto"/>
        <w:ind w:left="0"/>
        <w:jc w:val="left"/>
      </w:pPr>
      <w:r>
        <w:rPr>
          <w:rFonts w:eastAsia="等线" w:ascii="Arial" w:cs="Arial" w:hAnsi="Arial"/>
          <w:sz w:val="22"/>
        </w:rPr>
        <w:t>routing to approver;</w:t>
      </w:r>
    </w:p>
    <w:p>
      <w:pPr>
        <w:numPr>
          <w:numId w:val="36"/>
        </w:numPr>
        <w:spacing w:before="120" w:after="120" w:line="288" w:lineRule="auto"/>
        <w:ind w:left="0"/>
        <w:jc w:val="left"/>
      </w:pPr>
      <w:r>
        <w:rPr>
          <w:rFonts w:eastAsia="等线" w:ascii="Arial" w:cs="Arial" w:hAnsi="Arial"/>
          <w:sz w:val="22"/>
        </w:rPr>
        <w:t>approval / rejection / comment action;</w:t>
      </w:r>
    </w:p>
    <w:p>
      <w:pPr>
        <w:numPr>
          <w:numId w:val="37"/>
        </w:numPr>
        <w:spacing w:before="120" w:after="120" w:line="288" w:lineRule="auto"/>
        <w:ind w:left="0"/>
        <w:jc w:val="left"/>
      </w:pPr>
      <w:r>
        <w:rPr>
          <w:rFonts w:eastAsia="等线" w:ascii="Arial" w:cs="Arial" w:hAnsi="Arial"/>
          <w:sz w:val="22"/>
        </w:rPr>
        <w:t>decision visibility;</w:t>
      </w:r>
    </w:p>
    <w:p>
      <w:pPr>
        <w:numPr>
          <w:numId w:val="38"/>
        </w:numPr>
        <w:spacing w:before="120" w:after="120" w:line="288" w:lineRule="auto"/>
        <w:ind w:left="0"/>
        <w:jc w:val="left"/>
      </w:pPr>
      <w:r>
        <w:rPr>
          <w:rFonts w:eastAsia="等线" w:ascii="Arial" w:cs="Arial" w:hAnsi="Arial"/>
          <w:sz w:val="22"/>
        </w:rPr>
        <w:t>audit trail.</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credit block / approval delay]</w:t>
      </w:r>
      <w:r>
        <w:rPr>
          <w:rFonts w:eastAsia="等线" w:ascii="Arial" w:cs="Arial" w:hAnsi="Arial"/>
          <w:sz w:val="22"/>
        </w:rPr>
        <w:br/>
      </w:r>
      <w:r>
        <w:rPr>
          <w:rFonts w:eastAsia="Consolas" w:ascii="Consolas" w:cs="Consolas" w:hAnsi="Consolas"/>
          <w:sz w:val="22"/>
          <w:shd w:fill="EFF0F1"/>
        </w:rPr>
        <w:t>[Mindhive internal decision | AIP-04]</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Order hits approval condition → MAIA flags approval requirement → approver receives task or notification → approver approves, rejects, or comments → decision is recorded → sales / finance sees outcome → order proceeds according to decision.</w:t>
      </w:r>
    </w:p>
    <w:p>
      <w:pPr>
        <w:spacing w:before="120" w:after="120" w:line="288" w:lineRule="auto"/>
        <w:ind w:left="0"/>
        <w:jc w:val="left"/>
      </w:pPr>
      <w:r>
        <w:rPr>
          <w:rFonts w:eastAsia="等线" w:ascii="Arial" w:cs="Arial" w:hAnsi="Arial"/>
          <w:b w:val="true"/>
          <w:sz w:val="22"/>
        </w:rPr>
        <w:t>Acceptance criteria:</w:t>
      </w:r>
    </w:p>
    <w:p>
      <w:pPr>
        <w:numPr>
          <w:numId w:val="39"/>
        </w:numPr>
        <w:spacing w:before="120" w:after="120" w:line="288" w:lineRule="auto"/>
        <w:ind w:left="0"/>
        <w:jc w:val="left"/>
      </w:pPr>
      <w:r>
        <w:rPr>
          <w:rFonts w:eastAsia="等线" w:ascii="Arial" w:cs="Arial" w:hAnsi="Arial"/>
          <w:sz w:val="22"/>
        </w:rPr>
        <w:t>Approval-required documents show approval state.</w:t>
      </w:r>
    </w:p>
    <w:p>
      <w:pPr>
        <w:numPr>
          <w:numId w:val="40"/>
        </w:numPr>
        <w:spacing w:before="120" w:after="120" w:line="288" w:lineRule="auto"/>
        <w:ind w:left="0"/>
        <w:jc w:val="left"/>
      </w:pPr>
      <w:r>
        <w:rPr>
          <w:rFonts w:eastAsia="等线" w:ascii="Arial" w:cs="Arial" w:hAnsi="Arial"/>
          <w:sz w:val="22"/>
        </w:rPr>
        <w:t>Approvers can act inside MAIA.</w:t>
      </w:r>
    </w:p>
    <w:p>
      <w:pPr>
        <w:numPr>
          <w:numId w:val="41"/>
        </w:numPr>
        <w:spacing w:before="120" w:after="120" w:line="288" w:lineRule="auto"/>
        <w:ind w:left="0"/>
        <w:jc w:val="left"/>
      </w:pPr>
      <w:r>
        <w:rPr>
          <w:rFonts w:eastAsia="等线" w:ascii="Arial" w:cs="Arial" w:hAnsi="Arial"/>
          <w:sz w:val="22"/>
        </w:rPr>
        <w:t>Decision trail records actor, time, status, and comments.</w:t>
      </w:r>
    </w:p>
    <w:p>
      <w:pPr>
        <w:numPr>
          <w:numId w:val="42"/>
        </w:numPr>
        <w:spacing w:before="120" w:after="120" w:line="288" w:lineRule="auto"/>
        <w:ind w:left="0"/>
        <w:jc w:val="left"/>
      </w:pPr>
      <w:r>
        <w:rPr>
          <w:rFonts w:eastAsia="等线" w:ascii="Arial" w:cs="Arial" w:hAnsi="Arial"/>
          <w:sz w:val="22"/>
        </w:rPr>
        <w:t>Users can see whether approval is pending, approved, rejected, or action-required.</w:t>
      </w:r>
    </w:p>
    <w:p>
      <w:pPr>
        <w:numPr>
          <w:numId w:val="43"/>
        </w:numPr>
        <w:spacing w:before="120" w:after="120" w:line="288" w:lineRule="auto"/>
        <w:ind w:left="0"/>
        <w:jc w:val="left"/>
      </w:pPr>
      <w:r>
        <w:rPr>
          <w:rFonts w:eastAsia="等线" w:ascii="Arial" w:cs="Arial" w:hAnsi="Arial"/>
          <w:sz w:val="22"/>
        </w:rPr>
        <w:t>Approval visibility reduces dependency on WhatsApp message tracking.</w:t>
      </w:r>
    </w:p>
    <w:p>
      <w:pPr>
        <w:spacing w:before="120" w:after="120" w:line="288" w:lineRule="auto"/>
        <w:ind w:left="0"/>
        <w:jc w:val="left"/>
      </w:pPr>
      <w:r>
        <w:rPr>
          <w:rFonts w:eastAsia="等线" w:ascii="Arial" w:cs="Arial" w:hAnsi="Arial"/>
          <w:b w:val="true"/>
          <w:sz w:val="22"/>
        </w:rPr>
        <w:t>Boundary:</w:t>
      </w:r>
      <w:r>
        <w:rPr>
          <w:rFonts w:eastAsia="等线" w:ascii="Arial" w:cs="Arial" w:hAnsi="Arial"/>
          <w:sz w:val="22"/>
        </w:rPr>
        <w:br/>
      </w:r>
      <w:r>
        <w:rPr>
          <w:rFonts w:eastAsia="等线" w:ascii="Arial" w:cs="Arial" w:hAnsi="Arial"/>
          <w:sz w:val="22"/>
        </w:rPr>
        <w:t>SAP-side credit-block release depends on SAP integration behaviour and should not be assumed unless confirmed in the integration design.</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on MAIA workflow; MEDIUM on SAP release automation.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b w:val="true"/>
          <w:sz w:val="32"/>
        </w:rPr>
        <w:t>SL-05 — Payment proof upload and payment entry decision</w:t>
      </w:r>
      <w:bookmarkEnd w:id="2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r>
    </w:p>
    <w:p>
      <w:pPr>
        <w:spacing w:before="120" w:after="120" w:line="288" w:lineRule="auto"/>
        <w:ind w:left="0"/>
        <w:jc w:val="left"/>
      </w:pPr>
      <w:r>
        <w:rPr>
          <w:rFonts w:eastAsia="等线" w:ascii="Arial" w:cs="Arial" w:hAnsi="Arial"/>
          <w:b w:val="true"/>
          <w:sz w:val="22"/>
        </w:rPr>
        <w:t>Scope definition:</w:t>
      </w:r>
      <w:r>
        <w:rPr>
          <w:rFonts w:eastAsia="等线" w:ascii="Arial" w:cs="Arial" w:hAnsi="Arial"/>
          <w:sz w:val="22"/>
        </w:rPr>
        <w:br/>
      </w:r>
      <w:r>
        <w:rPr>
          <w:rFonts w:eastAsia="等线" w:ascii="Arial" w:cs="Arial" w:hAnsi="Arial"/>
          <w:sz w:val="22"/>
        </w:rPr>
        <w:t>Sales users or finance users can upload proof of payment into MAIA.</w:t>
      </w:r>
    </w:p>
    <w:p>
      <w:pPr>
        <w:spacing w:before="120" w:after="120" w:line="288" w:lineRule="auto"/>
        <w:ind w:left="0"/>
        <w:jc w:val="left"/>
      </w:pPr>
      <w:r>
        <w:rPr>
          <w:rFonts w:eastAsia="等线" w:ascii="Arial" w:cs="Arial" w:hAnsi="Arial"/>
          <w:sz w:val="22"/>
        </w:rPr>
        <w:t>MAIA will understand the uploaded attachment and create a draft payment entry based on the user’s instruction. The user decides whether MAIA should create:</w:t>
      </w:r>
    </w:p>
    <w:p>
      <w:pPr>
        <w:numPr>
          <w:numId w:val="44"/>
        </w:numPr>
        <w:spacing w:before="120" w:after="120" w:line="288" w:lineRule="auto"/>
        <w:ind w:left="0"/>
        <w:jc w:val="left"/>
      </w:pPr>
      <w:r>
        <w:rPr>
          <w:rFonts w:eastAsia="等线" w:ascii="Arial" w:cs="Arial" w:hAnsi="Arial"/>
          <w:sz w:val="22"/>
        </w:rPr>
        <w:t>payment receipt; or</w:t>
      </w:r>
    </w:p>
    <w:p>
      <w:pPr>
        <w:numPr>
          <w:numId w:val="45"/>
        </w:numPr>
        <w:spacing w:before="120" w:after="120" w:line="288" w:lineRule="auto"/>
        <w:ind w:left="0"/>
        <w:jc w:val="left"/>
      </w:pPr>
      <w:r>
        <w:rPr>
          <w:rFonts w:eastAsia="等线" w:ascii="Arial" w:cs="Arial" w:hAnsi="Arial"/>
          <w:sz w:val="22"/>
        </w:rPr>
        <w:t>payment voucher.</w:t>
      </w:r>
    </w:p>
    <w:p>
      <w:pPr>
        <w:spacing w:before="120" w:after="120" w:line="288" w:lineRule="auto"/>
        <w:ind w:left="0"/>
        <w:jc w:val="left"/>
      </w:pPr>
      <w:r>
        <w:rPr>
          <w:rFonts w:eastAsia="等线" w:ascii="Arial" w:cs="Arial" w:hAnsi="Arial"/>
          <w:sz w:val="22"/>
        </w:rPr>
        <w:t>The uploaded attachment is attached to the draft payment entry.</w:t>
      </w:r>
    </w:p>
    <w:p>
      <w:pPr>
        <w:spacing w:before="120" w:after="120" w:line="288" w:lineRule="auto"/>
        <w:ind w:left="0"/>
        <w:jc w:val="left"/>
      </w:pPr>
      <w:r>
        <w:rPr>
          <w:rFonts w:eastAsia="等线" w:ascii="Arial" w:cs="Arial" w:hAnsi="Arial"/>
          <w:b w:val="true"/>
          <w:sz w:val="22"/>
        </w:rPr>
        <w:t>Manual boundary:</w:t>
      </w:r>
      <w:r>
        <w:rPr>
          <w:rFonts w:eastAsia="等线" w:ascii="Arial" w:cs="Arial" w:hAnsi="Arial"/>
          <w:sz w:val="22"/>
        </w:rPr>
        <w:br/>
      </w:r>
      <w:r>
        <w:rPr>
          <w:rFonts w:eastAsia="等线" w:ascii="Arial" w:cs="Arial" w:hAnsi="Arial"/>
          <w:sz w:val="22"/>
        </w:rPr>
        <w:t>Reconciliation, invoice allocation, knockoff, and any related allocation of this payment to invoices or other documents are done manually and instructed manually by the user. MAIA does not automatically allocate payment to invoices in this scope.</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payment proof workflow]</w:t>
      </w:r>
      <w:r>
        <w:rPr>
          <w:rFonts w:eastAsia="等线" w:ascii="Arial" w:cs="Arial" w:hAnsi="Arial"/>
          <w:sz w:val="22"/>
        </w:rPr>
        <w:br/>
      </w:r>
      <w:r>
        <w:rPr>
          <w:rFonts w:eastAsia="Consolas" w:ascii="Consolas" w:cs="Consolas" w:hAnsi="Consolas"/>
          <w:sz w:val="22"/>
          <w:shd w:fill="EFF0F1"/>
        </w:rPr>
        <w:t>[Mindhive internal decision | AIP-05]</w:t>
      </w:r>
      <w:r>
        <w:rPr>
          <w:rFonts w:eastAsia="等线" w:ascii="Arial" w:cs="Arial" w:hAnsi="Arial"/>
          <w:sz w:val="22"/>
        </w:rPr>
        <w:br/>
      </w:r>
      <w:r>
        <w:rPr>
          <w:rFonts w:eastAsia="Consolas" w:ascii="Consolas" w:cs="Consolas" w:hAnsi="Consolas"/>
          <w:sz w:val="22"/>
          <w:shd w:fill="EFF0F1"/>
        </w:rPr>
        <w:t>[Mindhive internal decision | NSD-06 resolved]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User uploads payment proof → MAIA reads / stores attachment → MAIA asks what the user wants to do → user chooses payment receipt or payment voucher → MAIA creates draft payment entry with attachment → user manually instructs allocation / reconciliation where needed → user reviews and confirms → document writes back to SAP where applicable.</w:t>
      </w:r>
    </w:p>
    <w:p>
      <w:pPr>
        <w:spacing w:before="120" w:after="120" w:line="288" w:lineRule="auto"/>
        <w:ind w:left="0"/>
        <w:jc w:val="left"/>
      </w:pPr>
      <w:r>
        <w:rPr>
          <w:rFonts w:eastAsia="等线" w:ascii="Arial" w:cs="Arial" w:hAnsi="Arial"/>
          <w:b w:val="true"/>
          <w:sz w:val="22"/>
        </w:rPr>
        <w:t>Acceptance criteria:</w:t>
      </w:r>
    </w:p>
    <w:p>
      <w:pPr>
        <w:numPr>
          <w:numId w:val="46"/>
        </w:numPr>
        <w:spacing w:before="120" w:after="120" w:line="288" w:lineRule="auto"/>
        <w:ind w:left="0"/>
        <w:jc w:val="left"/>
      </w:pPr>
      <w:r>
        <w:rPr>
          <w:rFonts w:eastAsia="等线" w:ascii="Arial" w:cs="Arial" w:hAnsi="Arial"/>
          <w:sz w:val="22"/>
        </w:rPr>
        <w:t>Payment proof can be uploaded and attached.</w:t>
      </w:r>
    </w:p>
    <w:p>
      <w:pPr>
        <w:numPr>
          <w:numId w:val="47"/>
        </w:numPr>
        <w:spacing w:before="120" w:after="120" w:line="288" w:lineRule="auto"/>
        <w:ind w:left="0"/>
        <w:jc w:val="left"/>
      </w:pPr>
      <w:r>
        <w:rPr>
          <w:rFonts w:eastAsia="等线" w:ascii="Arial" w:cs="Arial" w:hAnsi="Arial"/>
          <w:sz w:val="22"/>
        </w:rPr>
        <w:t>MAIA can read the attachment sufficiently to assist draft creation.</w:t>
      </w:r>
    </w:p>
    <w:p>
      <w:pPr>
        <w:numPr>
          <w:numId w:val="48"/>
        </w:numPr>
        <w:spacing w:before="120" w:after="120" w:line="288" w:lineRule="auto"/>
        <w:ind w:left="0"/>
        <w:jc w:val="left"/>
      </w:pPr>
      <w:r>
        <w:rPr>
          <w:rFonts w:eastAsia="等线" w:ascii="Arial" w:cs="Arial" w:hAnsi="Arial"/>
          <w:sz w:val="22"/>
        </w:rPr>
        <w:t>MAIA prompts user for payment-entry decision.</w:t>
      </w:r>
    </w:p>
    <w:p>
      <w:pPr>
        <w:numPr>
          <w:numId w:val="49"/>
        </w:numPr>
        <w:spacing w:before="120" w:after="120" w:line="288" w:lineRule="auto"/>
        <w:ind w:left="0"/>
        <w:jc w:val="left"/>
      </w:pPr>
      <w:r>
        <w:rPr>
          <w:rFonts w:eastAsia="等线" w:ascii="Arial" w:cs="Arial" w:hAnsi="Arial"/>
          <w:sz w:val="22"/>
        </w:rPr>
        <w:t>User can choose payment receipt or payment voucher.</w:t>
      </w:r>
    </w:p>
    <w:p>
      <w:pPr>
        <w:numPr>
          <w:numId w:val="50"/>
        </w:numPr>
        <w:spacing w:before="120" w:after="120" w:line="288" w:lineRule="auto"/>
        <w:ind w:left="0"/>
        <w:jc w:val="left"/>
      </w:pPr>
      <w:r>
        <w:rPr>
          <w:rFonts w:eastAsia="等线" w:ascii="Arial" w:cs="Arial" w:hAnsi="Arial"/>
          <w:sz w:val="22"/>
        </w:rPr>
        <w:t>Uploaded attachment is attached to the draft payment entry.</w:t>
      </w:r>
    </w:p>
    <w:p>
      <w:pPr>
        <w:numPr>
          <w:numId w:val="51"/>
        </w:numPr>
        <w:spacing w:before="120" w:after="120" w:line="288" w:lineRule="auto"/>
        <w:ind w:left="0"/>
        <w:jc w:val="left"/>
      </w:pPr>
      <w:r>
        <w:rPr>
          <w:rFonts w:eastAsia="等线" w:ascii="Arial" w:cs="Arial" w:hAnsi="Arial"/>
          <w:sz w:val="22"/>
        </w:rPr>
        <w:t>Reconciliation and allocation remain manual user-controlled actions.</w:t>
      </w:r>
    </w:p>
    <w:p>
      <w:pPr>
        <w:numPr>
          <w:numId w:val="52"/>
        </w:numPr>
        <w:spacing w:before="120" w:after="120" w:line="288" w:lineRule="auto"/>
        <w:ind w:left="0"/>
        <w:jc w:val="left"/>
      </w:pPr>
      <w:r>
        <w:rPr>
          <w:rFonts w:eastAsia="等线" w:ascii="Arial" w:cs="Arial" w:hAnsi="Arial"/>
          <w:sz w:val="22"/>
        </w:rPr>
        <w:t>MAIA does not finalize payment document without user confirmation.</w:t>
      </w:r>
    </w:p>
    <w:p>
      <w:pPr>
        <w:numPr>
          <w:numId w:val="53"/>
        </w:numPr>
        <w:spacing w:before="120" w:after="120" w:line="288" w:lineRule="auto"/>
        <w:ind w:left="0"/>
        <w:jc w:val="left"/>
      </w:pPr>
      <w:r>
        <w:rPr>
          <w:rFonts w:eastAsia="等线" w:ascii="Arial" w:cs="Arial" w:hAnsi="Arial"/>
          <w:sz w:val="22"/>
        </w:rPr>
        <w:t>Payment document status and SAP writeback status are visible.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on workflow; MEDIUM on SAP payment object mapping.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b w:val="true"/>
          <w:sz w:val="32"/>
        </w:rPr>
        <w:t>SL-06 — Invoice / document retrieval by users</w:t>
      </w:r>
      <w:bookmarkEnd w:id="2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r>
    </w:p>
    <w:p>
      <w:pPr>
        <w:spacing w:before="120" w:after="120" w:line="288" w:lineRule="auto"/>
        <w:ind w:left="0"/>
        <w:jc w:val="left"/>
      </w:pPr>
      <w:r>
        <w:rPr>
          <w:rFonts w:eastAsia="等线" w:ascii="Arial" w:cs="Arial" w:hAnsi="Arial"/>
          <w:b w:val="true"/>
          <w:sz w:val="22"/>
        </w:rPr>
        <w:t>Scope definition:</w:t>
      </w:r>
      <w:r>
        <w:rPr>
          <w:rFonts w:eastAsia="等线" w:ascii="Arial" w:cs="Arial" w:hAnsi="Arial"/>
          <w:sz w:val="22"/>
        </w:rPr>
        <w:br/>
      </w:r>
      <w:r>
        <w:rPr>
          <w:rFonts w:eastAsia="等线" w:ascii="Arial" w:cs="Arial" w:hAnsi="Arial"/>
          <w:sz w:val="22"/>
        </w:rPr>
        <w:t>MAIA will support user requests for relevant customer documents, including invoice retrieval, where those documents exist in MAIA or are available through SAP sync.</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invoice retrieval request]</w:t>
      </w:r>
      <w:r>
        <w:rPr>
          <w:rFonts w:eastAsia="等线" w:ascii="Arial" w:cs="Arial" w:hAnsi="Arial"/>
          <w:sz w:val="22"/>
        </w:rPr>
        <w:br/>
      </w:r>
      <w:r>
        <w:rPr>
          <w:rFonts w:eastAsia="Consolas" w:ascii="Consolas" w:cs="Consolas" w:hAnsi="Consolas"/>
          <w:sz w:val="22"/>
          <w:shd w:fill="EFF0F1"/>
        </w:rPr>
        <w:t>[Mindhive internal decision | AIP-06]</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Sales user requests invoice or related document → MAIA searches synced / linked document records → MAIA returns matching records → user downloads or shares as permitted.</w:t>
      </w:r>
    </w:p>
    <w:p>
      <w:pPr>
        <w:spacing w:before="120" w:after="120" w:line="288" w:lineRule="auto"/>
        <w:ind w:left="0"/>
        <w:jc w:val="left"/>
      </w:pPr>
      <w:r>
        <w:rPr>
          <w:rFonts w:eastAsia="等线" w:ascii="Arial" w:cs="Arial" w:hAnsi="Arial"/>
          <w:b w:val="true"/>
          <w:sz w:val="22"/>
        </w:rPr>
        <w:t>Acceptance criteria:</w:t>
      </w:r>
    </w:p>
    <w:p>
      <w:pPr>
        <w:numPr>
          <w:numId w:val="54"/>
        </w:numPr>
        <w:spacing w:before="120" w:after="120" w:line="288" w:lineRule="auto"/>
        <w:ind w:left="0"/>
        <w:jc w:val="left"/>
      </w:pPr>
      <w:r>
        <w:rPr>
          <w:rFonts w:eastAsia="等线" w:ascii="Arial" w:cs="Arial" w:hAnsi="Arial"/>
          <w:sz w:val="22"/>
        </w:rPr>
        <w:t>User can search or request invoice records.</w:t>
      </w:r>
    </w:p>
    <w:p>
      <w:pPr>
        <w:numPr>
          <w:numId w:val="55"/>
        </w:numPr>
        <w:spacing w:before="120" w:after="120" w:line="288" w:lineRule="auto"/>
        <w:ind w:left="0"/>
        <w:jc w:val="left"/>
      </w:pPr>
      <w:r>
        <w:rPr>
          <w:rFonts w:eastAsia="等线" w:ascii="Arial" w:cs="Arial" w:hAnsi="Arial"/>
          <w:sz w:val="22"/>
        </w:rPr>
        <w:t>MAIA returns matching invoice / document records.</w:t>
      </w:r>
    </w:p>
    <w:p>
      <w:pPr>
        <w:numPr>
          <w:numId w:val="56"/>
        </w:numPr>
        <w:spacing w:before="120" w:after="120" w:line="288" w:lineRule="auto"/>
        <w:ind w:left="0"/>
        <w:jc w:val="left"/>
      </w:pPr>
      <w:r>
        <w:rPr>
          <w:rFonts w:eastAsia="等线" w:ascii="Arial" w:cs="Arial" w:hAnsi="Arial"/>
          <w:sz w:val="22"/>
        </w:rPr>
        <w:t>Access respects user permissions.</w:t>
      </w:r>
    </w:p>
    <w:p>
      <w:pPr>
        <w:numPr>
          <w:numId w:val="57"/>
        </w:numPr>
        <w:spacing w:before="120" w:after="120" w:line="288" w:lineRule="auto"/>
        <w:ind w:left="0"/>
        <w:jc w:val="left"/>
      </w:pPr>
      <w:r>
        <w:rPr>
          <w:rFonts w:eastAsia="等线" w:ascii="Arial" w:cs="Arial" w:hAnsi="Arial"/>
          <w:sz w:val="22"/>
        </w:rPr>
        <w:t>Download or share action is available where permitted.</w:t>
      </w:r>
    </w:p>
    <w:p>
      <w:pPr>
        <w:numPr>
          <w:numId w:val="58"/>
        </w:numPr>
        <w:spacing w:before="120" w:after="120" w:line="288" w:lineRule="auto"/>
        <w:ind w:left="0"/>
        <w:jc w:val="left"/>
      </w:pPr>
      <w:r>
        <w:rPr>
          <w:rFonts w:eastAsia="等线" w:ascii="Arial" w:cs="Arial" w:hAnsi="Arial"/>
          <w:sz w:val="22"/>
        </w:rPr>
        <w:t>SAP document reference is visible where applicable.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on scope; MEDIUM on available SAP document access.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 w:id="23"/>
      <w:r>
        <w:rPr>
          <w:rFonts w:eastAsia="等线" w:ascii="Arial" w:cs="Arial" w:hAnsi="Arial"/>
          <w:b w:val="true"/>
          <w:sz w:val="32"/>
        </w:rPr>
        <w:t>SL-07 — Password-protected SOA portal link</w:t>
      </w:r>
      <w:bookmarkEnd w:id="2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r>
    </w:p>
    <w:p>
      <w:pPr>
        <w:spacing w:before="120" w:after="120" w:line="288" w:lineRule="auto"/>
        <w:ind w:left="0"/>
        <w:jc w:val="left"/>
      </w:pPr>
      <w:r>
        <w:rPr>
          <w:rFonts w:eastAsia="等线" w:ascii="Arial" w:cs="Arial" w:hAnsi="Arial"/>
          <w:b w:val="true"/>
          <w:sz w:val="22"/>
        </w:rPr>
        <w:t>Scope definition:</w:t>
      </w:r>
      <w:r>
        <w:rPr>
          <w:rFonts w:eastAsia="等线" w:ascii="Arial" w:cs="Arial" w:hAnsi="Arial"/>
          <w:sz w:val="22"/>
        </w:rPr>
        <w:br/>
      </w:r>
      <w:r>
        <w:rPr>
          <w:rFonts w:eastAsia="等线" w:ascii="Arial" w:cs="Arial" w:hAnsi="Arial"/>
          <w:sz w:val="22"/>
        </w:rPr>
        <w:t>MAIA will allow sales users to request a Statement of Account link that can be shared with customers.</w:t>
      </w:r>
    </w:p>
    <w:p>
      <w:pPr>
        <w:spacing w:before="120" w:after="120" w:line="288" w:lineRule="auto"/>
        <w:ind w:left="0"/>
        <w:jc w:val="left"/>
      </w:pPr>
      <w:r>
        <w:rPr>
          <w:rFonts w:eastAsia="等线" w:ascii="Arial" w:cs="Arial" w:hAnsi="Arial"/>
          <w:sz w:val="22"/>
        </w:rPr>
        <w:t>The link will be:</w:t>
      </w:r>
    </w:p>
    <w:p>
      <w:pPr>
        <w:numPr>
          <w:numId w:val="59"/>
        </w:numPr>
        <w:spacing w:before="120" w:after="120" w:line="288" w:lineRule="auto"/>
        <w:ind w:left="0"/>
        <w:jc w:val="left"/>
      </w:pPr>
      <w:r>
        <w:rPr>
          <w:rFonts w:eastAsia="等线" w:ascii="Arial" w:cs="Arial" w:hAnsi="Arial"/>
          <w:sz w:val="22"/>
        </w:rPr>
        <w:t>password protected;</w:t>
      </w:r>
    </w:p>
    <w:p>
      <w:pPr>
        <w:numPr>
          <w:numId w:val="60"/>
        </w:numPr>
        <w:spacing w:before="120" w:after="120" w:line="288" w:lineRule="auto"/>
        <w:ind w:left="0"/>
        <w:jc w:val="left"/>
      </w:pPr>
      <w:r>
        <w:rPr>
          <w:rFonts w:eastAsia="等线" w:ascii="Arial" w:cs="Arial" w:hAnsi="Arial"/>
          <w:sz w:val="22"/>
        </w:rPr>
        <w:t>valid for a defined period;</w:t>
      </w:r>
    </w:p>
    <w:p>
      <w:pPr>
        <w:numPr>
          <w:numId w:val="61"/>
        </w:numPr>
        <w:spacing w:before="120" w:after="120" w:line="288" w:lineRule="auto"/>
        <w:ind w:left="0"/>
        <w:jc w:val="left"/>
      </w:pPr>
      <w:r>
        <w:rPr>
          <w:rFonts w:eastAsia="等线" w:ascii="Arial" w:cs="Arial" w:hAnsi="Arial"/>
          <w:sz w:val="22"/>
        </w:rPr>
        <w:t>revocable by the user at any time;</w:t>
      </w:r>
    </w:p>
    <w:p>
      <w:pPr>
        <w:numPr>
          <w:numId w:val="62"/>
        </w:numPr>
        <w:spacing w:before="120" w:after="120" w:line="288" w:lineRule="auto"/>
        <w:ind w:left="0"/>
        <w:jc w:val="left"/>
      </w:pPr>
      <w:r>
        <w:rPr>
          <w:rFonts w:eastAsia="等线" w:ascii="Arial" w:cs="Arial" w:hAnsi="Arial"/>
          <w:sz w:val="22"/>
        </w:rPr>
        <w:t>mobile responsive.</w:t>
      </w:r>
    </w:p>
    <w:p>
      <w:pPr>
        <w:spacing w:before="120" w:after="120" w:line="288" w:lineRule="auto"/>
        <w:ind w:left="0"/>
        <w:jc w:val="left"/>
      </w:pPr>
      <w:r>
        <w:rPr>
          <w:rFonts w:eastAsia="等线" w:ascii="Arial" w:cs="Arial" w:hAnsi="Arial"/>
          <w:sz w:val="22"/>
        </w:rPr>
        <w:t>When the customer opens the link and enters the password, they can navigate to a mobile responsive website showing:</w:t>
      </w:r>
    </w:p>
    <w:p>
      <w:pPr>
        <w:numPr>
          <w:numId w:val="63"/>
        </w:numPr>
        <w:spacing w:before="120" w:after="120" w:line="288" w:lineRule="auto"/>
        <w:ind w:left="0"/>
        <w:jc w:val="left"/>
      </w:pPr>
      <w:r>
        <w:rPr>
          <w:rFonts w:eastAsia="等线" w:ascii="Arial" w:cs="Arial" w:hAnsi="Arial"/>
          <w:sz w:val="22"/>
        </w:rPr>
        <w:t>Statement of Account;</w:t>
      </w:r>
    </w:p>
    <w:p>
      <w:pPr>
        <w:numPr>
          <w:numId w:val="64"/>
        </w:numPr>
        <w:spacing w:before="120" w:after="120" w:line="288" w:lineRule="auto"/>
        <w:ind w:left="0"/>
        <w:jc w:val="left"/>
      </w:pPr>
      <w:r>
        <w:rPr>
          <w:rFonts w:eastAsia="等线" w:ascii="Arial" w:cs="Arial" w:hAnsi="Arial"/>
          <w:sz w:val="22"/>
        </w:rPr>
        <w:t>invoices;</w:t>
      </w:r>
    </w:p>
    <w:p>
      <w:pPr>
        <w:numPr>
          <w:numId w:val="65"/>
        </w:numPr>
        <w:spacing w:before="120" w:after="120" w:line="288" w:lineRule="auto"/>
        <w:ind w:left="0"/>
        <w:jc w:val="left"/>
      </w:pPr>
      <w:r>
        <w:rPr>
          <w:rFonts w:eastAsia="等线" w:ascii="Arial" w:cs="Arial" w:hAnsi="Arial"/>
          <w:sz w:val="22"/>
        </w:rPr>
        <w:t>credit notes;</w:t>
      </w:r>
    </w:p>
    <w:p>
      <w:pPr>
        <w:numPr>
          <w:numId w:val="66"/>
        </w:numPr>
        <w:spacing w:before="120" w:after="120" w:line="288" w:lineRule="auto"/>
        <w:ind w:left="0"/>
        <w:jc w:val="left"/>
      </w:pPr>
      <w:r>
        <w:rPr>
          <w:rFonts w:eastAsia="等线" w:ascii="Arial" w:cs="Arial" w:hAnsi="Arial"/>
          <w:sz w:val="22"/>
        </w:rPr>
        <w:t>orders;</w:t>
      </w:r>
    </w:p>
    <w:p>
      <w:pPr>
        <w:numPr>
          <w:numId w:val="67"/>
        </w:numPr>
        <w:spacing w:before="120" w:after="120" w:line="288" w:lineRule="auto"/>
        <w:ind w:left="0"/>
        <w:jc w:val="left"/>
      </w:pPr>
      <w:r>
        <w:rPr>
          <w:rFonts w:eastAsia="等线" w:ascii="Arial" w:cs="Arial" w:hAnsi="Arial"/>
          <w:sz w:val="22"/>
        </w:rPr>
        <w:t>other related customer documents where available.</w:t>
      </w:r>
    </w:p>
    <w:p>
      <w:pPr>
        <w:spacing w:before="120" w:after="120" w:line="288" w:lineRule="auto"/>
        <w:ind w:left="0"/>
        <w:jc w:val="left"/>
      </w:pPr>
      <w:r>
        <w:rPr>
          <w:rFonts w:eastAsia="等线" w:ascii="Arial" w:cs="Arial" w:hAnsi="Arial"/>
          <w:sz w:val="22"/>
        </w:rPr>
        <w:t>Customers can self-service download available documents from the portal.</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SOA / secure link concern]</w:t>
      </w:r>
      <w:r>
        <w:rPr>
          <w:rFonts w:eastAsia="等线" w:ascii="Arial" w:cs="Arial" w:hAnsi="Arial"/>
          <w:sz w:val="22"/>
        </w:rPr>
        <w:br/>
      </w:r>
      <w:r>
        <w:rPr>
          <w:rFonts w:eastAsia="Consolas" w:ascii="Consolas" w:cs="Consolas" w:hAnsi="Consolas"/>
          <w:sz w:val="22"/>
          <w:shd w:fill="EFF0F1"/>
        </w:rPr>
        <w:t>[Mindhive internal decision | AIP-07]</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Sales user requests SOA link → MAIA generates password-protected link → sales user shares link and password with customer → customer opens mobile portal → customer enters password → customer views SOA and related documents → customer downloads documents → sales user can revoke access.</w:t>
      </w:r>
    </w:p>
    <w:p>
      <w:pPr>
        <w:spacing w:before="120" w:after="120" w:line="288" w:lineRule="auto"/>
        <w:ind w:left="0"/>
        <w:jc w:val="left"/>
      </w:pPr>
      <w:r>
        <w:rPr>
          <w:rFonts w:eastAsia="等线" w:ascii="Arial" w:cs="Arial" w:hAnsi="Arial"/>
          <w:b w:val="true"/>
          <w:sz w:val="22"/>
        </w:rPr>
        <w:t>Acceptance criteria:</w:t>
      </w:r>
    </w:p>
    <w:p>
      <w:pPr>
        <w:numPr>
          <w:numId w:val="68"/>
        </w:numPr>
        <w:spacing w:before="120" w:after="120" w:line="288" w:lineRule="auto"/>
        <w:ind w:left="0"/>
        <w:jc w:val="left"/>
      </w:pPr>
      <w:r>
        <w:rPr>
          <w:rFonts w:eastAsia="等线" w:ascii="Arial" w:cs="Arial" w:hAnsi="Arial"/>
          <w:sz w:val="22"/>
        </w:rPr>
        <w:t>Link requires password.</w:t>
      </w:r>
    </w:p>
    <w:p>
      <w:pPr>
        <w:numPr>
          <w:numId w:val="69"/>
        </w:numPr>
        <w:spacing w:before="120" w:after="120" w:line="288" w:lineRule="auto"/>
        <w:ind w:left="0"/>
        <w:jc w:val="left"/>
      </w:pPr>
      <w:r>
        <w:rPr>
          <w:rFonts w:eastAsia="等线" w:ascii="Arial" w:cs="Arial" w:hAnsi="Arial"/>
          <w:sz w:val="22"/>
        </w:rPr>
        <w:t>Link has defined expiry.</w:t>
      </w:r>
    </w:p>
    <w:p>
      <w:pPr>
        <w:numPr>
          <w:numId w:val="70"/>
        </w:numPr>
        <w:spacing w:before="120" w:after="120" w:line="288" w:lineRule="auto"/>
        <w:ind w:left="0"/>
        <w:jc w:val="left"/>
      </w:pPr>
      <w:r>
        <w:rPr>
          <w:rFonts w:eastAsia="等线" w:ascii="Arial" w:cs="Arial" w:hAnsi="Arial"/>
          <w:sz w:val="22"/>
        </w:rPr>
        <w:t>Link can be revoked by authorized user.</w:t>
      </w:r>
    </w:p>
    <w:p>
      <w:pPr>
        <w:numPr>
          <w:numId w:val="71"/>
        </w:numPr>
        <w:spacing w:before="120" w:after="120" w:line="288" w:lineRule="auto"/>
        <w:ind w:left="0"/>
        <w:jc w:val="left"/>
      </w:pPr>
      <w:r>
        <w:rPr>
          <w:rFonts w:eastAsia="等线" w:ascii="Arial" w:cs="Arial" w:hAnsi="Arial"/>
          <w:sz w:val="22"/>
        </w:rPr>
        <w:t>Portal is mobile responsive.</w:t>
      </w:r>
    </w:p>
    <w:p>
      <w:pPr>
        <w:numPr>
          <w:numId w:val="72"/>
        </w:numPr>
        <w:spacing w:before="120" w:after="120" w:line="288" w:lineRule="auto"/>
        <w:ind w:left="0"/>
        <w:jc w:val="left"/>
      </w:pPr>
      <w:r>
        <w:rPr>
          <w:rFonts w:eastAsia="等线" w:ascii="Arial" w:cs="Arial" w:hAnsi="Arial"/>
          <w:sz w:val="22"/>
        </w:rPr>
        <w:t>Portal exposes only documents within intended customer/account scope.</w:t>
      </w:r>
    </w:p>
    <w:p>
      <w:pPr>
        <w:numPr>
          <w:numId w:val="73"/>
        </w:numPr>
        <w:spacing w:before="120" w:after="120" w:line="288" w:lineRule="auto"/>
        <w:ind w:left="0"/>
        <w:jc w:val="left"/>
      </w:pPr>
      <w:r>
        <w:rPr>
          <w:rFonts w:eastAsia="等线" w:ascii="Arial" w:cs="Arial" w:hAnsi="Arial"/>
          <w:sz w:val="22"/>
        </w:rPr>
        <w:t>Customer cannot access unrelated customer data.</w:t>
      </w:r>
    </w:p>
    <w:p>
      <w:pPr>
        <w:numPr>
          <w:numId w:val="74"/>
        </w:numPr>
        <w:spacing w:before="120" w:after="120" w:line="288" w:lineRule="auto"/>
        <w:ind w:left="0"/>
        <w:jc w:val="left"/>
      </w:pPr>
      <w:r>
        <w:rPr>
          <w:rFonts w:eastAsia="等线" w:ascii="Arial" w:cs="Arial" w:hAnsi="Arial"/>
          <w:sz w:val="22"/>
        </w:rPr>
        <w:t>Access revocation takes effect after user action.</w:t>
      </w:r>
    </w:p>
    <w:p>
      <w:pPr>
        <w:spacing w:before="120" w:after="120" w:line="288" w:lineRule="auto"/>
        <w:ind w:left="0"/>
        <w:jc w:val="left"/>
      </w:pPr>
      <w:r>
        <w:rPr>
          <w:rFonts w:eastAsia="等线" w:ascii="Arial" w:cs="Arial" w:hAnsi="Arial"/>
          <w:b w:val="true"/>
          <w:sz w:val="22"/>
        </w:rPr>
        <w:t>Pending product detail:</w:t>
      </w:r>
      <w:r>
        <w:rPr>
          <w:rFonts w:eastAsia="等线" w:ascii="Arial" w:cs="Arial" w:hAnsi="Arial"/>
          <w:sz w:val="22"/>
        </w:rPr>
        <w:br/>
      </w:r>
      <w:r>
        <w:rPr>
          <w:rFonts w:eastAsia="等线" w:ascii="Arial" w:cs="Arial" w:hAnsi="Arial"/>
          <w:sz w:val="22"/>
        </w:rPr>
        <w:t>Expiry duration, password generation method, password delivery method, access logs, and document list.</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on scope; MEDIUM on security design detail.</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 w:id="24"/>
      <w:r>
        <w:rPr>
          <w:rFonts w:eastAsia="等线" w:ascii="Arial" w:cs="Arial" w:hAnsi="Arial"/>
          <w:b w:val="true"/>
          <w:sz w:val="32"/>
        </w:rPr>
        <w:t>SL-08 — Client document format matching</w:t>
      </w:r>
      <w:bookmarkEnd w:id="24"/>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r>
    </w:p>
    <w:p>
      <w:pPr>
        <w:spacing w:before="120" w:after="120" w:line="288" w:lineRule="auto"/>
        <w:ind w:left="0"/>
        <w:jc w:val="left"/>
      </w:pPr>
      <w:r>
        <w:rPr>
          <w:rFonts w:eastAsia="等线" w:ascii="Arial" w:cs="Arial" w:hAnsi="Arial"/>
          <w:b w:val="true"/>
          <w:sz w:val="22"/>
        </w:rPr>
        <w:t>Scope definition:</w:t>
      </w:r>
      <w:r>
        <w:rPr>
          <w:rFonts w:eastAsia="等线" w:ascii="Arial" w:cs="Arial" w:hAnsi="Arial"/>
          <w:sz w:val="22"/>
        </w:rPr>
        <w:br/>
      </w:r>
      <w:r>
        <w:rPr>
          <w:rFonts w:eastAsia="等线" w:ascii="Arial" w:cs="Arial" w:hAnsi="Arial"/>
          <w:sz w:val="22"/>
        </w:rPr>
        <w:t>For documents generated by MAIA, MAIA will match GST’s required document formats.</w:t>
      </w:r>
    </w:p>
    <w:p>
      <w:pPr>
        <w:spacing w:before="120" w:after="120" w:line="288" w:lineRule="auto"/>
        <w:ind w:left="0"/>
        <w:jc w:val="left"/>
      </w:pPr>
      <w:r>
        <w:rPr>
          <w:rFonts w:eastAsia="等线" w:ascii="Arial" w:cs="Arial" w:hAnsi="Arial"/>
          <w:b w:val="true"/>
          <w:sz w:val="22"/>
        </w:rPr>
        <w:t>Current pending action from client:</w:t>
      </w:r>
      <w:r>
        <w:rPr>
          <w:rFonts w:eastAsia="等线" w:ascii="Arial" w:cs="Arial" w:hAnsi="Arial"/>
          <w:sz w:val="22"/>
        </w:rPr>
        <w:br/>
      </w:r>
      <w:r>
        <w:rPr>
          <w:rFonts w:eastAsia="等线" w:ascii="Arial" w:cs="Arial" w:hAnsi="Arial"/>
          <w:sz w:val="22"/>
        </w:rPr>
        <w:t>GST must provide sample document formats.</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Crystal Reports / document format]</w:t>
      </w:r>
      <w:r>
        <w:rPr>
          <w:rFonts w:eastAsia="等线" w:ascii="Arial" w:cs="Arial" w:hAnsi="Arial"/>
          <w:sz w:val="22"/>
        </w:rPr>
        <w:br/>
      </w:r>
      <w:r>
        <w:rPr>
          <w:rFonts w:eastAsia="Consolas" w:ascii="Consolas" w:cs="Consolas" w:hAnsi="Consolas"/>
          <w:sz w:val="22"/>
          <w:shd w:fill="EFF0F1"/>
        </w:rPr>
        <w:t>[Mindhive internal decision | AIP-08]</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User generates quotation / order / invoice / other supported document in MAIA → MAIA outputs document using GST-approved layout → user reviews, downloads, or sends.</w:t>
      </w:r>
    </w:p>
    <w:p>
      <w:pPr>
        <w:spacing w:before="120" w:after="120" w:line="288" w:lineRule="auto"/>
        <w:ind w:left="0"/>
        <w:jc w:val="left"/>
      </w:pPr>
      <w:r>
        <w:rPr>
          <w:rFonts w:eastAsia="等线" w:ascii="Arial" w:cs="Arial" w:hAnsi="Arial"/>
          <w:b w:val="true"/>
          <w:sz w:val="22"/>
        </w:rPr>
        <w:t>Acceptance criteria:</w:t>
      </w:r>
    </w:p>
    <w:p>
      <w:pPr>
        <w:numPr>
          <w:numId w:val="75"/>
        </w:numPr>
        <w:spacing w:before="120" w:after="120" w:line="288" w:lineRule="auto"/>
        <w:ind w:left="0"/>
        <w:jc w:val="left"/>
      </w:pPr>
      <w:r>
        <w:rPr>
          <w:rFonts w:eastAsia="等线" w:ascii="Arial" w:cs="Arial" w:hAnsi="Arial"/>
          <w:sz w:val="22"/>
        </w:rPr>
        <w:t>GST provides sample formats for every in-scope document type.</w:t>
      </w:r>
    </w:p>
    <w:p>
      <w:pPr>
        <w:numPr>
          <w:numId w:val="76"/>
        </w:numPr>
        <w:spacing w:before="120" w:after="120" w:line="288" w:lineRule="auto"/>
        <w:ind w:left="0"/>
        <w:jc w:val="left"/>
      </w:pPr>
      <w:r>
        <w:rPr>
          <w:rFonts w:eastAsia="等线" w:ascii="Arial" w:cs="Arial" w:hAnsi="Arial"/>
          <w:sz w:val="22"/>
        </w:rPr>
        <w:t>MAIA-generated documents match agreed layout and required fields.</w:t>
      </w:r>
    </w:p>
    <w:p>
      <w:pPr>
        <w:numPr>
          <w:numId w:val="77"/>
        </w:numPr>
        <w:spacing w:before="120" w:after="120" w:line="288" w:lineRule="auto"/>
        <w:ind w:left="0"/>
        <w:jc w:val="left"/>
      </w:pPr>
      <w:r>
        <w:rPr>
          <w:rFonts w:eastAsia="等线" w:ascii="Arial" w:cs="Arial" w:hAnsi="Arial"/>
          <w:sz w:val="22"/>
        </w:rPr>
        <w:t>Format match is validated in UAT.</w:t>
      </w:r>
    </w:p>
    <w:p>
      <w:pPr>
        <w:numPr>
          <w:numId w:val="78"/>
        </w:numPr>
        <w:spacing w:before="120" w:after="120" w:line="288" w:lineRule="auto"/>
        <w:ind w:left="0"/>
        <w:jc w:val="left"/>
      </w:pPr>
      <w:r>
        <w:rPr>
          <w:rFonts w:eastAsia="等线" w:ascii="Arial" w:cs="Arial" w:hAnsi="Arial"/>
          <w:sz w:val="22"/>
        </w:rPr>
        <w:t>Missing format sample is treated as blocker for that document type.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on scope; LOW on document-specific acceptance until samples are received.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 w:id="25"/>
      <w:r>
        <w:rPr>
          <w:rFonts w:eastAsia="等线" w:ascii="Arial" w:cs="Arial" w:hAnsi="Arial"/>
          <w:b w:val="true"/>
          <w:sz w:val="32"/>
        </w:rPr>
        <w:t>SL-09 — Inventory visual cue on document item tables</w:t>
      </w:r>
      <w:bookmarkEnd w:id="2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r>
    </w:p>
    <w:p>
      <w:pPr>
        <w:spacing w:before="120" w:after="120" w:line="288" w:lineRule="auto"/>
        <w:ind w:left="0"/>
        <w:jc w:val="left"/>
      </w:pPr>
      <w:r>
        <w:rPr>
          <w:rFonts w:eastAsia="等线" w:ascii="Arial" w:cs="Arial" w:hAnsi="Arial"/>
          <w:b w:val="true"/>
          <w:sz w:val="22"/>
        </w:rPr>
        <w:t>Scope definition:</w:t>
      </w:r>
      <w:r>
        <w:rPr>
          <w:rFonts w:eastAsia="等线" w:ascii="Arial" w:cs="Arial" w:hAnsi="Arial"/>
          <w:sz w:val="22"/>
        </w:rPr>
        <w:br/>
      </w:r>
      <w:r>
        <w:rPr>
          <w:rFonts w:eastAsia="等线" w:ascii="Arial" w:cs="Arial" w:hAnsi="Arial"/>
          <w:sz w:val="22"/>
        </w:rPr>
        <w:t>When users create quotations, sales orders, or delivery notes, and add items into the item table, MAIA will show a visual cue of inventory state for that item.</w:t>
      </w:r>
    </w:p>
    <w:p>
      <w:pPr>
        <w:spacing w:before="120" w:after="120" w:line="288" w:lineRule="auto"/>
        <w:ind w:left="0"/>
        <w:jc w:val="left"/>
      </w:pPr>
      <w:r>
        <w:rPr>
          <w:rFonts w:eastAsia="等线" w:ascii="Arial" w:cs="Arial" w:hAnsi="Arial"/>
          <w:sz w:val="22"/>
        </w:rPr>
        <w:t>Users will be able to see:</w:t>
      </w:r>
    </w:p>
    <w:p>
      <w:pPr>
        <w:numPr>
          <w:numId w:val="79"/>
        </w:numPr>
        <w:spacing w:before="120" w:after="120" w:line="288" w:lineRule="auto"/>
        <w:ind w:left="0"/>
        <w:jc w:val="left"/>
      </w:pPr>
      <w:r>
        <w:rPr>
          <w:rFonts w:eastAsia="等线" w:ascii="Arial" w:cs="Arial" w:hAnsi="Arial"/>
          <w:sz w:val="22"/>
        </w:rPr>
        <w:t>actual quantity;</w:t>
      </w:r>
    </w:p>
    <w:p>
      <w:pPr>
        <w:numPr>
          <w:numId w:val="80"/>
        </w:numPr>
        <w:spacing w:before="120" w:after="120" w:line="288" w:lineRule="auto"/>
        <w:ind w:left="0"/>
        <w:jc w:val="left"/>
      </w:pPr>
      <w:r>
        <w:rPr>
          <w:rFonts w:eastAsia="等线" w:ascii="Arial" w:cs="Arial" w:hAnsi="Arial"/>
          <w:sz w:val="22"/>
        </w:rPr>
        <w:t>available quantity;</w:t>
      </w:r>
    </w:p>
    <w:p>
      <w:pPr>
        <w:numPr>
          <w:numId w:val="81"/>
        </w:numPr>
        <w:spacing w:before="120" w:after="120" w:line="288" w:lineRule="auto"/>
        <w:ind w:left="0"/>
        <w:jc w:val="left"/>
      </w:pPr>
      <w:r>
        <w:rPr>
          <w:rFonts w:eastAsia="等线" w:ascii="Arial" w:cs="Arial" w:hAnsi="Arial"/>
          <w:sz w:val="22"/>
        </w:rPr>
        <w:t>reserved quantity;</w:t>
      </w:r>
    </w:p>
    <w:p>
      <w:pPr>
        <w:numPr>
          <w:numId w:val="82"/>
        </w:numPr>
        <w:spacing w:before="120" w:after="120" w:line="288" w:lineRule="auto"/>
        <w:ind w:left="0"/>
        <w:jc w:val="left"/>
      </w:pPr>
      <w:r>
        <w:rPr>
          <w:rFonts w:eastAsia="等线" w:ascii="Arial" w:cs="Arial" w:hAnsi="Arial"/>
          <w:sz w:val="22"/>
        </w:rPr>
        <w:t>producible quantity, where the item is a Product Bundle / BOM / manufacturing item configured in MAIA.</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committed stock / inventory visibility]</w:t>
      </w:r>
      <w:r>
        <w:rPr>
          <w:rFonts w:eastAsia="等线" w:ascii="Arial" w:cs="Arial" w:hAnsi="Arial"/>
          <w:sz w:val="22"/>
        </w:rPr>
        <w:br/>
      </w:r>
      <w:r>
        <w:rPr>
          <w:rFonts w:eastAsia="Consolas" w:ascii="Consolas" w:cs="Consolas" w:hAnsi="Consolas"/>
          <w:sz w:val="22"/>
          <w:shd w:fill="EFF0F1"/>
        </w:rPr>
        <w:t>[Mindhive internal decision | AIP-09]</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User adds item to quotation / SO / DN → MAIA displays inventory cue beside item line → user sees actual / available / reserved / producible quantity → user decides whether to proceed, reduce quantity, produce, or choose alternative item.</w:t>
      </w:r>
    </w:p>
    <w:p>
      <w:pPr>
        <w:spacing w:before="120" w:after="120" w:line="288" w:lineRule="auto"/>
        <w:ind w:left="0"/>
        <w:jc w:val="left"/>
      </w:pPr>
      <w:r>
        <w:rPr>
          <w:rFonts w:eastAsia="等线" w:ascii="Arial" w:cs="Arial" w:hAnsi="Arial"/>
          <w:b w:val="true"/>
          <w:sz w:val="22"/>
        </w:rPr>
        <w:t>Acceptance criteria:</w:t>
      </w:r>
    </w:p>
    <w:p>
      <w:pPr>
        <w:numPr>
          <w:numId w:val="83"/>
        </w:numPr>
        <w:spacing w:before="120" w:after="120" w:line="288" w:lineRule="auto"/>
        <w:ind w:left="0"/>
        <w:jc w:val="left"/>
      </w:pPr>
      <w:r>
        <w:rPr>
          <w:rFonts w:eastAsia="等线" w:ascii="Arial" w:cs="Arial" w:hAnsi="Arial"/>
          <w:sz w:val="22"/>
        </w:rPr>
        <w:t>Inventory cue appears during item entry.</w:t>
      </w:r>
    </w:p>
    <w:p>
      <w:pPr>
        <w:numPr>
          <w:numId w:val="84"/>
        </w:numPr>
        <w:spacing w:before="120" w:after="120" w:line="288" w:lineRule="auto"/>
        <w:ind w:left="0"/>
        <w:jc w:val="left"/>
      </w:pPr>
      <w:r>
        <w:rPr>
          <w:rFonts w:eastAsia="等线" w:ascii="Arial" w:cs="Arial" w:hAnsi="Arial"/>
          <w:sz w:val="22"/>
        </w:rPr>
        <w:t>Actual, available, and reserved quantities are distinguishable.</w:t>
      </w:r>
    </w:p>
    <w:p>
      <w:pPr>
        <w:numPr>
          <w:numId w:val="85"/>
        </w:numPr>
        <w:spacing w:before="120" w:after="120" w:line="288" w:lineRule="auto"/>
        <w:ind w:left="0"/>
        <w:jc w:val="left"/>
      </w:pPr>
      <w:r>
        <w:rPr>
          <w:rFonts w:eastAsia="等线" w:ascii="Arial" w:cs="Arial" w:hAnsi="Arial"/>
          <w:sz w:val="22"/>
        </w:rPr>
        <w:t>Producible quantity appears only where Product Bundle / BOM data exists in MAIA.</w:t>
      </w:r>
    </w:p>
    <w:p>
      <w:pPr>
        <w:numPr>
          <w:numId w:val="86"/>
        </w:numPr>
        <w:spacing w:before="120" w:after="120" w:line="288" w:lineRule="auto"/>
        <w:ind w:left="0"/>
        <w:jc w:val="left"/>
      </w:pPr>
      <w:r>
        <w:rPr>
          <w:rFonts w:eastAsia="等线" w:ascii="Arial" w:cs="Arial" w:hAnsi="Arial"/>
          <w:sz w:val="22"/>
        </w:rPr>
        <w:t>UI does not imply GST’s custom SAP stock transformation workflow is supported.</w:t>
      </w:r>
    </w:p>
    <w:p>
      <w:pPr>
        <w:numPr>
          <w:numId w:val="87"/>
        </w:numPr>
        <w:spacing w:before="120" w:after="120" w:line="288" w:lineRule="auto"/>
        <w:ind w:left="0"/>
        <w:jc w:val="left"/>
      </w:pPr>
      <w:r>
        <w:rPr>
          <w:rFonts w:eastAsia="等线" w:ascii="Arial" w:cs="Arial" w:hAnsi="Arial"/>
          <w:sz w:val="22"/>
        </w:rPr>
        <w:t>Inventory cue reflects latest available MAIA/SAP sync data.</w:t>
      </w:r>
    </w:p>
    <w:p>
      <w:pPr>
        <w:spacing w:before="120" w:after="120" w:line="288" w:lineRule="auto"/>
        <w:ind w:left="0"/>
        <w:jc w:val="left"/>
      </w:pPr>
      <w:r>
        <w:rPr>
          <w:rFonts w:eastAsia="等线" w:ascii="Arial" w:cs="Arial" w:hAnsi="Arial"/>
          <w:b w:val="true"/>
          <w:sz w:val="22"/>
        </w:rPr>
        <w:t>Boundary:</w:t>
      </w:r>
      <w:r>
        <w:rPr>
          <w:rFonts w:eastAsia="等线" w:ascii="Arial" w:cs="Arial" w:hAnsi="Arial"/>
          <w:sz w:val="22"/>
        </w:rPr>
        <w:br/>
      </w:r>
      <w:r>
        <w:rPr>
          <w:rFonts w:eastAsia="等线" w:ascii="Arial" w:cs="Arial" w:hAnsi="Arial"/>
          <w:sz w:val="22"/>
        </w:rPr>
        <w:t>This scope supports MAIA-configured BOM / Product Bundle producible quantity. It does not support GST’s custom SAP stock transformation module.</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on MAIA-side inventory cue; MEDIUM on accuracy due to SAP sync dependency.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 w:id="26"/>
      <w:r>
        <w:rPr>
          <w:rFonts w:eastAsia="等线" w:ascii="Arial" w:cs="Arial" w:hAnsi="Arial"/>
          <w:b w:val="true"/>
          <w:sz w:val="32"/>
        </w:rPr>
        <w:t>SL-10 — Order listing, fulfillment percentage, and order aging</w:t>
      </w:r>
      <w:bookmarkEnd w:id="26"/>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r>
    </w:p>
    <w:p>
      <w:pPr>
        <w:spacing w:before="120" w:after="120" w:line="288" w:lineRule="auto"/>
        <w:ind w:left="0"/>
        <w:jc w:val="left"/>
      </w:pPr>
      <w:r>
        <w:rPr>
          <w:rFonts w:eastAsia="等线" w:ascii="Arial" w:cs="Arial" w:hAnsi="Arial"/>
          <w:b w:val="true"/>
          <w:sz w:val="22"/>
        </w:rPr>
        <w:t>Scope definition:</w:t>
      </w:r>
      <w:r>
        <w:rPr>
          <w:rFonts w:eastAsia="等线" w:ascii="Arial" w:cs="Arial" w:hAnsi="Arial"/>
          <w:sz w:val="22"/>
        </w:rPr>
        <w:br/>
      </w:r>
      <w:r>
        <w:rPr>
          <w:rFonts w:eastAsia="等线" w:ascii="Arial" w:cs="Arial" w:hAnsi="Arial"/>
          <w:sz w:val="22"/>
        </w:rPr>
        <w:t>MAIA will provide an interface showing order listings with fulfillment percentage and order age.</w:t>
      </w:r>
    </w:p>
    <w:p>
      <w:pPr>
        <w:spacing w:before="120" w:after="120" w:line="288" w:lineRule="auto"/>
        <w:ind w:left="0"/>
        <w:jc w:val="left"/>
      </w:pPr>
      <w:r>
        <w:rPr>
          <w:rFonts w:eastAsia="等线" w:ascii="Arial" w:cs="Arial" w:hAnsi="Arial"/>
          <w:sz w:val="22"/>
        </w:rPr>
        <w:t>Users can identify:</w:t>
      </w:r>
    </w:p>
    <w:p>
      <w:pPr>
        <w:numPr>
          <w:numId w:val="88"/>
        </w:numPr>
        <w:spacing w:before="120" w:after="120" w:line="288" w:lineRule="auto"/>
        <w:ind w:left="0"/>
        <w:jc w:val="left"/>
      </w:pPr>
      <w:r>
        <w:rPr>
          <w:rFonts w:eastAsia="等线" w:ascii="Arial" w:cs="Arial" w:hAnsi="Arial"/>
          <w:sz w:val="22"/>
        </w:rPr>
        <w:t>slow-moving orders;</w:t>
      </w:r>
    </w:p>
    <w:p>
      <w:pPr>
        <w:numPr>
          <w:numId w:val="89"/>
        </w:numPr>
        <w:spacing w:before="120" w:after="120" w:line="288" w:lineRule="auto"/>
        <w:ind w:left="0"/>
        <w:jc w:val="left"/>
      </w:pPr>
      <w:r>
        <w:rPr>
          <w:rFonts w:eastAsia="等线" w:ascii="Arial" w:cs="Arial" w:hAnsi="Arial"/>
          <w:sz w:val="22"/>
        </w:rPr>
        <w:t>long-open orders;</w:t>
      </w:r>
    </w:p>
    <w:p>
      <w:pPr>
        <w:numPr>
          <w:numId w:val="90"/>
        </w:numPr>
        <w:spacing w:before="120" w:after="120" w:line="288" w:lineRule="auto"/>
        <w:ind w:left="0"/>
        <w:jc w:val="left"/>
      </w:pPr>
      <w:r>
        <w:rPr>
          <w:rFonts w:eastAsia="等线" w:ascii="Arial" w:cs="Arial" w:hAnsi="Arial"/>
          <w:sz w:val="22"/>
        </w:rPr>
        <w:t>partially fulfilled orders;</w:t>
      </w:r>
    </w:p>
    <w:p>
      <w:pPr>
        <w:numPr>
          <w:numId w:val="91"/>
        </w:numPr>
        <w:spacing w:before="120" w:after="120" w:line="288" w:lineRule="auto"/>
        <w:ind w:left="0"/>
        <w:jc w:val="left"/>
      </w:pPr>
      <w:r>
        <w:rPr>
          <w:rFonts w:eastAsia="等线" w:ascii="Arial" w:cs="Arial" w:hAnsi="Arial"/>
          <w:sz w:val="22"/>
        </w:rPr>
        <w:t>orders requiring follow-up.</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stale order / fulfillment visibility]</w:t>
      </w:r>
      <w:r>
        <w:rPr>
          <w:rFonts w:eastAsia="等线" w:ascii="Arial" w:cs="Arial" w:hAnsi="Arial"/>
          <w:sz w:val="22"/>
        </w:rPr>
        <w:br/>
      </w:r>
      <w:r>
        <w:rPr>
          <w:rFonts w:eastAsia="Consolas" w:ascii="Consolas" w:cs="Consolas" w:hAnsi="Consolas"/>
          <w:sz w:val="22"/>
          <w:shd w:fill="EFF0F1"/>
        </w:rPr>
        <w:t>[Mindhive internal decision | AIP-10]</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User opens order listing → sees order status, fulfillment percentage, and order age → filters or sorts by aging / fulfillment → opens order detail → follows up or acts.</w:t>
      </w:r>
    </w:p>
    <w:p>
      <w:pPr>
        <w:spacing w:before="120" w:after="120" w:line="288" w:lineRule="auto"/>
        <w:ind w:left="0"/>
        <w:jc w:val="left"/>
      </w:pPr>
      <w:r>
        <w:rPr>
          <w:rFonts w:eastAsia="等线" w:ascii="Arial" w:cs="Arial" w:hAnsi="Arial"/>
          <w:b w:val="true"/>
          <w:sz w:val="22"/>
        </w:rPr>
        <w:t>Acceptance criteria:</w:t>
      </w:r>
    </w:p>
    <w:p>
      <w:pPr>
        <w:numPr>
          <w:numId w:val="92"/>
        </w:numPr>
        <w:spacing w:before="120" w:after="120" w:line="288" w:lineRule="auto"/>
        <w:ind w:left="0"/>
        <w:jc w:val="left"/>
      </w:pPr>
      <w:r>
        <w:rPr>
          <w:rFonts w:eastAsia="等线" w:ascii="Arial" w:cs="Arial" w:hAnsi="Arial"/>
          <w:sz w:val="22"/>
        </w:rPr>
        <w:t>Order listing includes fulfillment percentage.</w:t>
      </w:r>
    </w:p>
    <w:p>
      <w:pPr>
        <w:numPr>
          <w:numId w:val="93"/>
        </w:numPr>
        <w:spacing w:before="120" w:after="120" w:line="288" w:lineRule="auto"/>
        <w:ind w:left="0"/>
        <w:jc w:val="left"/>
      </w:pPr>
      <w:r>
        <w:rPr>
          <w:rFonts w:eastAsia="等线" w:ascii="Arial" w:cs="Arial" w:hAnsi="Arial"/>
          <w:sz w:val="22"/>
        </w:rPr>
        <w:t>Order listing includes order age / open duration.</w:t>
      </w:r>
    </w:p>
    <w:p>
      <w:pPr>
        <w:numPr>
          <w:numId w:val="94"/>
        </w:numPr>
        <w:spacing w:before="120" w:after="120" w:line="288" w:lineRule="auto"/>
        <w:ind w:left="0"/>
        <w:jc w:val="left"/>
      </w:pPr>
      <w:r>
        <w:rPr>
          <w:rFonts w:eastAsia="等线" w:ascii="Arial" w:cs="Arial" w:hAnsi="Arial"/>
          <w:sz w:val="22"/>
        </w:rPr>
        <w:t>Users can navigate from listing to order detail.</w:t>
      </w:r>
    </w:p>
    <w:p>
      <w:pPr>
        <w:numPr>
          <w:numId w:val="95"/>
        </w:numPr>
        <w:spacing w:before="120" w:after="120" w:line="288" w:lineRule="auto"/>
        <w:ind w:left="0"/>
        <w:jc w:val="left"/>
      </w:pPr>
      <w:r>
        <w:rPr>
          <w:rFonts w:eastAsia="等线" w:ascii="Arial" w:cs="Arial" w:hAnsi="Arial"/>
          <w:sz w:val="22"/>
        </w:rPr>
        <w:t>Users can identify slow-moving or long-open orders from the interface.</w:t>
      </w:r>
    </w:p>
    <w:p>
      <w:pPr>
        <w:numPr>
          <w:numId w:val="96"/>
        </w:numPr>
        <w:spacing w:before="120" w:after="120" w:line="288" w:lineRule="auto"/>
        <w:ind w:left="0"/>
        <w:jc w:val="left"/>
      </w:pPr>
      <w:r>
        <w:rPr>
          <w:rFonts w:eastAsia="等线" w:ascii="Arial" w:cs="Arial" w:hAnsi="Arial"/>
          <w:sz w:val="22"/>
        </w:rPr>
        <w:t>Fulfillment percentage is shown using MAIA’s order fulfillment logic.</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 w:id="27"/>
      <w:r>
        <w:rPr>
          <w:rFonts w:eastAsia="等线" w:ascii="Arial" w:cs="Arial" w:hAnsi="Arial"/>
          <w:b w:val="true"/>
          <w:sz w:val="32"/>
        </w:rPr>
        <w:t>SL-11 — MAIA-created document writeback to SAP</w:t>
      </w:r>
      <w:bookmarkEnd w:id="2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r>
    </w:p>
    <w:p>
      <w:pPr>
        <w:spacing w:before="120" w:after="120" w:line="288" w:lineRule="auto"/>
        <w:ind w:left="0"/>
        <w:jc w:val="left"/>
      </w:pPr>
      <w:r>
        <w:rPr>
          <w:rFonts w:eastAsia="等线" w:ascii="Arial" w:cs="Arial" w:hAnsi="Arial"/>
          <w:b w:val="true"/>
          <w:sz w:val="22"/>
        </w:rPr>
        <w:t>Scope definition:</w:t>
      </w:r>
      <w:r>
        <w:rPr>
          <w:rFonts w:eastAsia="等线" w:ascii="Arial" w:cs="Arial" w:hAnsi="Arial"/>
          <w:sz w:val="22"/>
        </w:rPr>
        <w:br/>
      </w:r>
      <w:r>
        <w:rPr>
          <w:rFonts w:eastAsia="等线" w:ascii="Arial" w:cs="Arial" w:hAnsi="Arial"/>
          <w:sz w:val="22"/>
        </w:rPr>
        <w:t>All supported documents created in MAIA will write back to SAP.</w:t>
      </w:r>
    </w:p>
    <w:p>
      <w:pPr>
        <w:spacing w:before="120" w:after="120" w:line="288" w:lineRule="auto"/>
        <w:ind w:left="0"/>
        <w:jc w:val="left"/>
      </w:pPr>
      <w:r>
        <w:rPr>
          <w:rFonts w:eastAsia="等线" w:ascii="Arial" w:cs="Arial" w:hAnsi="Arial"/>
          <w:sz w:val="22"/>
        </w:rPr>
        <w:t>This includes MAIA-created documents in the supported business flow, subject to the agreed SAP integration design.</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SAP integration dependency]</w:t>
      </w:r>
      <w:r>
        <w:rPr>
          <w:rFonts w:eastAsia="等线" w:ascii="Arial" w:cs="Arial" w:hAnsi="Arial"/>
          <w:sz w:val="22"/>
        </w:rPr>
        <w:br/>
      </w:r>
      <w:r>
        <w:rPr>
          <w:rFonts w:eastAsia="Consolas" w:ascii="Consolas" w:cs="Consolas" w:hAnsi="Consolas"/>
          <w:sz w:val="22"/>
          <w:shd w:fill="EFF0F1"/>
        </w:rPr>
        <w:t>[SAP-VENDOR | MAIA → middleware → SAP]</w:t>
      </w:r>
      <w:r>
        <w:rPr>
          <w:rFonts w:eastAsia="等线" w:ascii="Arial" w:cs="Arial" w:hAnsi="Arial"/>
          <w:sz w:val="22"/>
        </w:rPr>
        <w:br/>
      </w:r>
      <w:r>
        <w:rPr>
          <w:rFonts w:eastAsia="Consolas" w:ascii="Consolas" w:cs="Consolas" w:hAnsi="Consolas"/>
          <w:sz w:val="22"/>
          <w:shd w:fill="EFF0F1"/>
        </w:rPr>
        <w:t>[Mindhive internal decision | NS07 resolved]</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User creates supported document in MAIA → user confirms → MAIA writes document to SAP through integration layer → SAP returns document reference / success or failure → MAIA stores SAP reference and displays writeback status.</w:t>
      </w:r>
    </w:p>
    <w:p>
      <w:pPr>
        <w:spacing w:before="120" w:after="120" w:line="288" w:lineRule="auto"/>
        <w:ind w:left="0"/>
        <w:jc w:val="left"/>
      </w:pPr>
      <w:r>
        <w:rPr>
          <w:rFonts w:eastAsia="等线" w:ascii="Arial" w:cs="Arial" w:hAnsi="Arial"/>
          <w:b w:val="true"/>
          <w:sz w:val="22"/>
        </w:rPr>
        <w:t>Acceptance criteria:</w:t>
      </w:r>
    </w:p>
    <w:p>
      <w:pPr>
        <w:numPr>
          <w:numId w:val="97"/>
        </w:numPr>
        <w:spacing w:before="120" w:after="120" w:line="288" w:lineRule="auto"/>
        <w:ind w:left="0"/>
        <w:jc w:val="left"/>
      </w:pPr>
      <w:r>
        <w:rPr>
          <w:rFonts w:eastAsia="等线" w:ascii="Arial" w:cs="Arial" w:hAnsi="Arial"/>
          <w:sz w:val="22"/>
        </w:rPr>
        <w:t>Supported MAIA-created documents write back to SAP.</w:t>
      </w:r>
    </w:p>
    <w:p>
      <w:pPr>
        <w:numPr>
          <w:numId w:val="98"/>
        </w:numPr>
        <w:spacing w:before="120" w:after="120" w:line="288" w:lineRule="auto"/>
        <w:ind w:left="0"/>
        <w:jc w:val="left"/>
      </w:pPr>
      <w:r>
        <w:rPr>
          <w:rFonts w:eastAsia="等线" w:ascii="Arial" w:cs="Arial" w:hAnsi="Arial"/>
          <w:sz w:val="22"/>
        </w:rPr>
        <w:t>Writeback success / failure is visible to users.</w:t>
      </w:r>
    </w:p>
    <w:p>
      <w:pPr>
        <w:numPr>
          <w:numId w:val="99"/>
        </w:numPr>
        <w:spacing w:before="120" w:after="120" w:line="288" w:lineRule="auto"/>
        <w:ind w:left="0"/>
        <w:jc w:val="left"/>
      </w:pPr>
      <w:r>
        <w:rPr>
          <w:rFonts w:eastAsia="等线" w:ascii="Arial" w:cs="Arial" w:hAnsi="Arial"/>
          <w:sz w:val="22"/>
        </w:rPr>
        <w:t>Duplicate document creation is prevented.</w:t>
      </w:r>
    </w:p>
    <w:p>
      <w:pPr>
        <w:numPr>
          <w:numId w:val="100"/>
        </w:numPr>
        <w:spacing w:before="120" w:after="120" w:line="288" w:lineRule="auto"/>
        <w:ind w:left="0"/>
        <w:jc w:val="left"/>
      </w:pPr>
      <w:r>
        <w:rPr>
          <w:rFonts w:eastAsia="等线" w:ascii="Arial" w:cs="Arial" w:hAnsi="Arial"/>
          <w:sz w:val="22"/>
        </w:rPr>
        <w:t>SAP document references are stored in MAIA.</w:t>
      </w:r>
    </w:p>
    <w:p>
      <w:pPr>
        <w:numPr>
          <w:numId w:val="101"/>
        </w:numPr>
        <w:spacing w:before="120" w:after="120" w:line="288" w:lineRule="auto"/>
        <w:ind w:left="0"/>
        <w:jc w:val="left"/>
      </w:pPr>
      <w:r>
        <w:rPr>
          <w:rFonts w:eastAsia="等线" w:ascii="Arial" w:cs="Arial" w:hAnsi="Arial"/>
          <w:sz w:val="22"/>
        </w:rPr>
        <w:t>Writeback error states are recoverable or clearly actionable.</w:t>
      </w:r>
    </w:p>
    <w:p>
      <w:pPr>
        <w:spacing w:before="120" w:after="120" w:line="288" w:lineRule="auto"/>
        <w:ind w:left="0"/>
        <w:jc w:val="left"/>
      </w:pPr>
      <w:r>
        <w:rPr>
          <w:rFonts w:eastAsia="等线" w:ascii="Arial" w:cs="Arial" w:hAnsi="Arial"/>
          <w:b w:val="true"/>
          <w:sz w:val="22"/>
        </w:rPr>
        <w:t>Boundary:</w:t>
      </w:r>
      <w:r>
        <w:rPr>
          <w:rFonts w:eastAsia="等线" w:ascii="Arial" w:cs="Arial" w:hAnsi="Arial"/>
          <w:sz w:val="22"/>
        </w:rPr>
        <w:br/>
      </w:r>
      <w:r>
        <w:rPr>
          <w:rFonts w:eastAsia="等线" w:ascii="Arial" w:cs="Arial" w:hAnsi="Arial"/>
          <w:sz w:val="22"/>
        </w:rPr>
        <w:t>MAIA does not support custom UDF / UDH development inside vendor third-party software as part of base scope. If a vendor-side custom UDF / UDH limitation blocks writeback, that item is raised and scoped as a separate customization.</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on scope.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 w:id="28"/>
      <w:r>
        <w:rPr>
          <w:rFonts w:eastAsia="等线" w:ascii="Arial" w:cs="Arial" w:hAnsi="Arial"/>
          <w:b w:val="true"/>
          <w:sz w:val="32"/>
        </w:rPr>
        <w:t>SL-12 — Movement-based slow stock visibility and reports</w:t>
      </w:r>
      <w:bookmarkEnd w:id="2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LOCKED — INTERNAL BUILD SCOPE</w:t>
      </w:r>
    </w:p>
    <w:p>
      <w:pPr>
        <w:spacing w:before="120" w:after="120" w:line="288" w:lineRule="auto"/>
        <w:ind w:left="0"/>
        <w:jc w:val="left"/>
      </w:pPr>
      <w:r>
        <w:rPr>
          <w:rFonts w:eastAsia="等线" w:ascii="Arial" w:cs="Arial" w:hAnsi="Arial"/>
          <w:b w:val="true"/>
          <w:sz w:val="22"/>
        </w:rPr>
        <w:t>Scope definition:</w:t>
      </w:r>
      <w:r>
        <w:rPr>
          <w:rFonts w:eastAsia="等线" w:ascii="Arial" w:cs="Arial" w:hAnsi="Arial"/>
          <w:sz w:val="22"/>
        </w:rPr>
        <w:br/>
      </w:r>
      <w:r>
        <w:rPr>
          <w:rFonts w:eastAsia="等线" w:ascii="Arial" w:cs="Arial" w:hAnsi="Arial"/>
          <w:sz w:val="22"/>
        </w:rPr>
        <w:t>Because GST does not capture batch number or expiry-related data in the required structured form, MAIA will not provide batch-expiry alerts. Instead, MAIA will surface movement-based slow stock signals.</w:t>
      </w:r>
    </w:p>
    <w:p>
      <w:pPr>
        <w:spacing w:before="120" w:after="120" w:line="288" w:lineRule="auto"/>
        <w:ind w:left="0"/>
        <w:jc w:val="left"/>
      </w:pPr>
      <w:r>
        <w:rPr>
          <w:rFonts w:eastAsia="等线" w:ascii="Arial" w:cs="Arial" w:hAnsi="Arial"/>
          <w:sz w:val="22"/>
        </w:rPr>
        <w:t>This includes:</w:t>
      </w:r>
    </w:p>
    <w:p>
      <w:pPr>
        <w:numPr>
          <w:numId w:val="102"/>
        </w:numPr>
        <w:spacing w:before="120" w:after="120" w:line="288" w:lineRule="auto"/>
        <w:ind w:left="0"/>
        <w:jc w:val="left"/>
      </w:pPr>
      <w:r>
        <w:rPr>
          <w:rFonts w:eastAsia="等线" w:ascii="Arial" w:cs="Arial" w:hAnsi="Arial"/>
          <w:sz w:val="22"/>
        </w:rPr>
        <w:t>slow-moving stock notifications;</w:t>
      </w:r>
    </w:p>
    <w:p>
      <w:pPr>
        <w:numPr>
          <w:numId w:val="103"/>
        </w:numPr>
        <w:spacing w:before="120" w:after="120" w:line="288" w:lineRule="auto"/>
        <w:ind w:left="0"/>
        <w:jc w:val="left"/>
      </w:pPr>
      <w:r>
        <w:rPr>
          <w:rFonts w:eastAsia="等线" w:ascii="Arial" w:cs="Arial" w:hAnsi="Arial"/>
          <w:sz w:val="22"/>
        </w:rPr>
        <w:t>slow-moving stock reports;</w:t>
      </w:r>
    </w:p>
    <w:p>
      <w:pPr>
        <w:numPr>
          <w:numId w:val="104"/>
        </w:numPr>
        <w:spacing w:before="120" w:after="120" w:line="288" w:lineRule="auto"/>
        <w:ind w:left="0"/>
        <w:jc w:val="left"/>
      </w:pPr>
      <w:r>
        <w:rPr>
          <w:rFonts w:eastAsia="等线" w:ascii="Arial" w:cs="Arial" w:hAnsi="Arial"/>
          <w:sz w:val="22"/>
        </w:rPr>
        <w:t>warehouse dashboard;</w:t>
      </w:r>
    </w:p>
    <w:p>
      <w:pPr>
        <w:numPr>
          <w:numId w:val="105"/>
        </w:numPr>
        <w:spacing w:before="120" w:after="120" w:line="288" w:lineRule="auto"/>
        <w:ind w:left="0"/>
        <w:jc w:val="left"/>
      </w:pPr>
      <w:r>
        <w:rPr>
          <w:rFonts w:eastAsia="等线" w:ascii="Arial" w:cs="Arial" w:hAnsi="Arial"/>
          <w:sz w:val="22"/>
        </w:rPr>
        <w:t>stock aging reports;</w:t>
      </w:r>
    </w:p>
    <w:p>
      <w:pPr>
        <w:numPr>
          <w:numId w:val="106"/>
        </w:numPr>
        <w:spacing w:before="120" w:after="120" w:line="288" w:lineRule="auto"/>
        <w:ind w:left="0"/>
        <w:jc w:val="left"/>
      </w:pPr>
      <w:r>
        <w:rPr>
          <w:rFonts w:eastAsia="等线" w:ascii="Arial" w:cs="Arial" w:hAnsi="Arial"/>
          <w:sz w:val="22"/>
        </w:rPr>
        <w:t>stock movement reports.</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batch / expiry limitation]</w:t>
      </w:r>
      <w:r>
        <w:rPr>
          <w:rFonts w:eastAsia="等线" w:ascii="Arial" w:cs="Arial" w:hAnsi="Arial"/>
          <w:sz w:val="22"/>
        </w:rPr>
        <w:br/>
      </w:r>
      <w:r>
        <w:rPr>
          <w:rFonts w:eastAsia="Consolas" w:ascii="Consolas" w:cs="Consolas" w:hAnsi="Consolas"/>
          <w:sz w:val="22"/>
          <w:shd w:fill="EFF0F1"/>
        </w:rPr>
        <w:t>[Mindhive internal decision | NS04]</w:t>
      </w:r>
    </w:p>
    <w:p>
      <w:pPr>
        <w:spacing w:before="120" w:after="120" w:line="288" w:lineRule="auto"/>
        <w:ind w:left="0"/>
        <w:jc w:val="left"/>
      </w:pPr>
      <w:r>
        <w:rPr>
          <w:rFonts w:eastAsia="等线" w:ascii="Arial" w:cs="Arial" w:hAnsi="Arial"/>
          <w:b w:val="true"/>
          <w:sz w:val="22"/>
        </w:rPr>
        <w:t>User-facing flow:</w:t>
      </w:r>
      <w:r>
        <w:rPr>
          <w:rFonts w:eastAsia="等线" w:ascii="Arial" w:cs="Arial" w:hAnsi="Arial"/>
          <w:sz w:val="22"/>
        </w:rPr>
        <w:br/>
      </w:r>
      <w:r>
        <w:rPr>
          <w:rFonts w:eastAsia="等线" w:ascii="Arial" w:cs="Arial" w:hAnsi="Arial"/>
          <w:sz w:val="22"/>
        </w:rPr>
        <w:t>User opens warehouse dashboard or stock report → MAIA shows stock movement / aging signals based on available stock movement data → user identifies slow-moving stock → user follows up operationally.</w:t>
      </w:r>
    </w:p>
    <w:p>
      <w:pPr>
        <w:spacing w:before="120" w:after="120" w:line="288" w:lineRule="auto"/>
        <w:ind w:left="0"/>
        <w:jc w:val="left"/>
      </w:pPr>
      <w:r>
        <w:rPr>
          <w:rFonts w:eastAsia="等线" w:ascii="Arial" w:cs="Arial" w:hAnsi="Arial"/>
          <w:b w:val="true"/>
          <w:sz w:val="22"/>
        </w:rPr>
        <w:t>Acceptance criteria:</w:t>
      </w:r>
    </w:p>
    <w:p>
      <w:pPr>
        <w:numPr>
          <w:numId w:val="107"/>
        </w:numPr>
        <w:spacing w:before="120" w:after="120" w:line="288" w:lineRule="auto"/>
        <w:ind w:left="0"/>
        <w:jc w:val="left"/>
      </w:pPr>
      <w:r>
        <w:rPr>
          <w:rFonts w:eastAsia="等线" w:ascii="Arial" w:cs="Arial" w:hAnsi="Arial"/>
          <w:sz w:val="22"/>
        </w:rPr>
        <w:t>MAIA provides warehouse dashboard visibility.</w:t>
      </w:r>
    </w:p>
    <w:p>
      <w:pPr>
        <w:numPr>
          <w:numId w:val="108"/>
        </w:numPr>
        <w:spacing w:before="120" w:after="120" w:line="288" w:lineRule="auto"/>
        <w:ind w:left="0"/>
        <w:jc w:val="left"/>
      </w:pPr>
      <w:r>
        <w:rPr>
          <w:rFonts w:eastAsia="等线" w:ascii="Arial" w:cs="Arial" w:hAnsi="Arial"/>
          <w:sz w:val="22"/>
        </w:rPr>
        <w:t>MAIA provides stock aging / stock movement views.</w:t>
      </w:r>
    </w:p>
    <w:p>
      <w:pPr>
        <w:numPr>
          <w:numId w:val="109"/>
        </w:numPr>
        <w:spacing w:before="120" w:after="120" w:line="288" w:lineRule="auto"/>
        <w:ind w:left="0"/>
        <w:jc w:val="left"/>
      </w:pPr>
      <w:r>
        <w:rPr>
          <w:rFonts w:eastAsia="等线" w:ascii="Arial" w:cs="Arial" w:hAnsi="Arial"/>
          <w:sz w:val="22"/>
        </w:rPr>
        <w:t>Slow-moving stock logic is configurable or defined.</w:t>
      </w:r>
    </w:p>
    <w:p>
      <w:pPr>
        <w:numPr>
          <w:numId w:val="110"/>
        </w:numPr>
        <w:spacing w:before="120" w:after="120" w:line="288" w:lineRule="auto"/>
        <w:ind w:left="0"/>
        <w:jc w:val="left"/>
      </w:pPr>
      <w:r>
        <w:rPr>
          <w:rFonts w:eastAsia="等线" w:ascii="Arial" w:cs="Arial" w:hAnsi="Arial"/>
          <w:sz w:val="22"/>
        </w:rPr>
        <w:t>MAIA does not claim batch-level expiry alerting.</w:t>
      </w:r>
    </w:p>
    <w:p>
      <w:pPr>
        <w:numPr>
          <w:numId w:val="111"/>
        </w:numPr>
        <w:spacing w:before="120" w:after="120" w:line="288" w:lineRule="auto"/>
        <w:ind w:left="0"/>
        <w:jc w:val="left"/>
      </w:pPr>
      <w:r>
        <w:rPr>
          <w:rFonts w:eastAsia="等线" w:ascii="Arial" w:cs="Arial" w:hAnsi="Arial"/>
          <w:sz w:val="22"/>
        </w:rPr>
        <w:t>Reports use available SAP / MAIA stock movement data.</w:t>
      </w:r>
    </w:p>
    <w:p>
      <w:p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HIGH on scope; MEDIUM on rule definitions.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9" w:id="29"/>
      <w:r>
        <w:rPr>
          <w:rFonts w:eastAsia="等线" w:ascii="Arial" w:cs="Arial" w:hAnsi="Arial"/>
          <w:color w:val="3370ff"/>
          <w:sz w:val="36"/>
        </w:rPr>
        <w:t xml:space="preserve">5. </w:t>
      </w:r>
      <w:r>
        <w:rPr>
          <w:rFonts w:eastAsia="等线" w:ascii="Arial" w:cs="Arial" w:hAnsi="Arial"/>
          <w:b w:val="true"/>
          <w:sz w:val="36"/>
        </w:rPr>
        <w:t>Needs-Scoping / Technical Detail Register</w:t>
      </w:r>
      <w:bookmarkEnd w:id="29"/>
    </w:p>
    <w:p>
      <w:pPr>
        <w:spacing w:before="120" w:after="120" w:line="288" w:lineRule="auto"/>
        <w:ind w:left="0"/>
        <w:jc w:val="left"/>
      </w:pPr>
      <w:r>
        <w:rPr>
          <w:rFonts w:eastAsia="等线" w:ascii="Arial" w:cs="Arial" w:hAnsi="Arial"/>
          <w:sz w:val="22"/>
        </w:rPr>
        <w:t>These items are not open scope debates. They are details or inputs required to complete production-ready implementation.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0" w:id="30"/>
      <w:r>
        <w:rPr>
          <w:rFonts w:eastAsia="等线" w:ascii="Arial" w:cs="Arial" w:hAnsi="Arial"/>
          <w:b w:val="true"/>
          <w:sz w:val="32"/>
        </w:rPr>
        <w:t>NSD-01 — Document format samples</w:t>
      </w:r>
      <w:bookmarkEnd w:id="3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w:t>
      </w:r>
    </w:p>
    <w:p>
      <w:pPr>
        <w:spacing w:before="120" w:after="120" w:line="288" w:lineRule="auto"/>
        <w:ind w:left="0"/>
        <w:jc w:val="left"/>
      </w:pPr>
      <w:r>
        <w:rPr>
          <w:rFonts w:eastAsia="等线" w:ascii="Arial" w:cs="Arial" w:hAnsi="Arial"/>
          <w:b w:val="true"/>
          <w:sz w:val="22"/>
        </w:rPr>
        <w:t>Issue:</w:t>
      </w:r>
      <w:r>
        <w:rPr>
          <w:rFonts w:eastAsia="等线" w:ascii="Arial" w:cs="Arial" w:hAnsi="Arial"/>
          <w:sz w:val="22"/>
        </w:rPr>
        <w:br/>
      </w:r>
      <w:r>
        <w:rPr>
          <w:rFonts w:eastAsia="等线" w:ascii="Arial" w:cs="Arial" w:hAnsi="Arial"/>
          <w:sz w:val="22"/>
        </w:rPr>
        <w:t>MAIA must match GST document formats, but document samples are pending.</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Crystal Reports / document sample request]</w:t>
      </w:r>
      <w:r>
        <w:rPr>
          <w:rFonts w:eastAsia="等线" w:ascii="Arial" w:cs="Arial" w:hAnsi="Arial"/>
          <w:sz w:val="22"/>
        </w:rPr>
        <w:br/>
      </w:r>
      <w:r>
        <w:rPr>
          <w:rFonts w:eastAsia="Consolas" w:ascii="Consolas" w:cs="Consolas" w:hAnsi="Consolas"/>
          <w:sz w:val="22"/>
          <w:shd w:fill="EFF0F1"/>
        </w:rPr>
        <w:t>[Mindhive internal decision | AIP-08]</w:t>
      </w:r>
    </w:p>
    <w:p>
      <w:pPr>
        <w:spacing w:before="120" w:after="120" w:line="288" w:lineRule="auto"/>
        <w:ind w:left="0"/>
        <w:jc w:val="left"/>
      </w:pPr>
      <w:r>
        <w:rPr>
          <w:rFonts w:eastAsia="等线" w:ascii="Arial" w:cs="Arial" w:hAnsi="Arial"/>
          <w:b w:val="true"/>
          <w:sz w:val="22"/>
        </w:rPr>
        <w:t>Required decision / input:</w:t>
      </w:r>
      <w:r>
        <w:rPr>
          <w:rFonts w:eastAsia="等线" w:ascii="Arial" w:cs="Arial" w:hAnsi="Arial"/>
          <w:sz w:val="22"/>
        </w:rPr>
        <w:br/>
      </w:r>
      <w:r>
        <w:rPr>
          <w:rFonts w:eastAsia="等线" w:ascii="Arial" w:cs="Arial" w:hAnsi="Arial"/>
          <w:sz w:val="22"/>
        </w:rPr>
        <w:t>GST must provide samples for all in-scope generated documents.</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YES for document UAT.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1" w:id="31"/>
      <w:r>
        <w:rPr>
          <w:rFonts w:eastAsia="等线" w:ascii="Arial" w:cs="Arial" w:hAnsi="Arial"/>
          <w:b w:val="true"/>
          <w:sz w:val="32"/>
        </w:rPr>
        <w:t>NSD-02 — Blanket Order / Agreement behaviour</w:t>
      </w:r>
      <w:bookmarkEnd w:id="31"/>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w:t>
      </w:r>
    </w:p>
    <w:p>
      <w:pPr>
        <w:spacing w:before="120" w:after="120" w:line="288" w:lineRule="auto"/>
        <w:ind w:left="0"/>
        <w:jc w:val="left"/>
      </w:pPr>
      <w:r>
        <w:rPr>
          <w:rFonts w:eastAsia="等线" w:ascii="Arial" w:cs="Arial" w:hAnsi="Arial"/>
          <w:b w:val="true"/>
          <w:sz w:val="22"/>
        </w:rPr>
        <w:t>Issue:</w:t>
      </w:r>
      <w:r>
        <w:rPr>
          <w:rFonts w:eastAsia="等线" w:ascii="Arial" w:cs="Arial" w:hAnsi="Arial"/>
          <w:sz w:val="22"/>
        </w:rPr>
        <w:br/>
      </w:r>
      <w:r>
        <w:rPr>
          <w:rFonts w:eastAsia="等线" w:ascii="Arial" w:cs="Arial" w:hAnsi="Arial"/>
          <w:sz w:val="22"/>
        </w:rPr>
        <w:t>GST’s SAP Blanket Order / Blanket Agreement functionality is richer than current MAIA support.</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pricing / Blanket Agreement]</w:t>
      </w:r>
      <w:r>
        <w:rPr>
          <w:rFonts w:eastAsia="等线" w:ascii="Arial" w:cs="Arial" w:hAnsi="Arial"/>
          <w:sz w:val="22"/>
        </w:rPr>
        <w:br/>
      </w:r>
      <w:r>
        <w:rPr>
          <w:rFonts w:eastAsia="Consolas" w:ascii="Consolas" w:cs="Consolas" w:hAnsi="Consolas"/>
          <w:sz w:val="22"/>
          <w:shd w:fill="EFF0F1"/>
        </w:rPr>
        <w:t>[Mindhive internal decision | AIP-03]</w:t>
      </w:r>
    </w:p>
    <w:p>
      <w:pPr>
        <w:spacing w:before="120" w:after="120" w:line="288" w:lineRule="auto"/>
        <w:ind w:left="0"/>
        <w:jc w:val="left"/>
      </w:pPr>
      <w:r>
        <w:rPr>
          <w:rFonts w:eastAsia="等线" w:ascii="Arial" w:cs="Arial" w:hAnsi="Arial"/>
          <w:b w:val="true"/>
          <w:sz w:val="22"/>
        </w:rPr>
        <w:t>Required decision / input:</w:t>
      </w:r>
      <w:r>
        <w:rPr>
          <w:rFonts w:eastAsia="等线" w:ascii="Arial" w:cs="Arial" w:hAnsi="Arial"/>
          <w:sz w:val="22"/>
        </w:rPr>
        <w:br/>
      </w:r>
      <w:r>
        <w:rPr>
          <w:rFonts w:eastAsia="等线" w:ascii="Arial" w:cs="Arial" w:hAnsi="Arial"/>
          <w:sz w:val="22"/>
        </w:rPr>
        <w:t>Walk through GST’s SAP Blanket Order / Agreement behaviour and map fields, lifecycle, price application, validity, and writeback.</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YES for pricing / order accuracy.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 w:id="32"/>
      <w:r>
        <w:rPr>
          <w:rFonts w:eastAsia="等线" w:ascii="Arial" w:cs="Arial" w:hAnsi="Arial"/>
          <w:b w:val="true"/>
          <w:sz w:val="32"/>
        </w:rPr>
        <w:t>NSD-03 — SOA portal security settings</w:t>
      </w:r>
      <w:bookmarkEnd w:id="32"/>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w:t>
      </w:r>
    </w:p>
    <w:p>
      <w:pPr>
        <w:spacing w:before="120" w:after="120" w:line="288" w:lineRule="auto"/>
        <w:ind w:left="0"/>
        <w:jc w:val="left"/>
      </w:pPr>
      <w:r>
        <w:rPr>
          <w:rFonts w:eastAsia="等线" w:ascii="Arial" w:cs="Arial" w:hAnsi="Arial"/>
          <w:b w:val="true"/>
          <w:sz w:val="22"/>
        </w:rPr>
        <w:t>Issue:</w:t>
      </w:r>
      <w:r>
        <w:rPr>
          <w:rFonts w:eastAsia="等线" w:ascii="Arial" w:cs="Arial" w:hAnsi="Arial"/>
          <w:sz w:val="22"/>
        </w:rPr>
        <w:br/>
      </w:r>
      <w:r>
        <w:rPr>
          <w:rFonts w:eastAsia="等线" w:ascii="Arial" w:cs="Arial" w:hAnsi="Arial"/>
          <w:sz w:val="22"/>
        </w:rPr>
        <w:t>SOA portal behaviour is locked, but exact security settings are not.</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SOA link security]</w:t>
      </w:r>
      <w:r>
        <w:rPr>
          <w:rFonts w:eastAsia="等线" w:ascii="Arial" w:cs="Arial" w:hAnsi="Arial"/>
          <w:sz w:val="22"/>
        </w:rPr>
        <w:br/>
      </w:r>
      <w:r>
        <w:rPr>
          <w:rFonts w:eastAsia="Consolas" w:ascii="Consolas" w:cs="Consolas" w:hAnsi="Consolas"/>
          <w:sz w:val="22"/>
          <w:shd w:fill="EFF0F1"/>
        </w:rPr>
        <w:t>[Mindhive internal decision | AIP-07]</w:t>
      </w:r>
    </w:p>
    <w:p>
      <w:pPr>
        <w:spacing w:before="120" w:after="120" w:line="288" w:lineRule="auto"/>
        <w:ind w:left="0"/>
        <w:jc w:val="left"/>
      </w:pPr>
      <w:r>
        <w:rPr>
          <w:rFonts w:eastAsia="等线" w:ascii="Arial" w:cs="Arial" w:hAnsi="Arial"/>
          <w:b w:val="true"/>
          <w:sz w:val="22"/>
        </w:rPr>
        <w:t>Required decisions:</w:t>
      </w:r>
    </w:p>
    <w:p>
      <w:pPr>
        <w:numPr>
          <w:numId w:val="112"/>
        </w:numPr>
        <w:spacing w:before="120" w:after="120" w:line="288" w:lineRule="auto"/>
        <w:ind w:left="0"/>
        <w:jc w:val="left"/>
      </w:pPr>
      <w:r>
        <w:rPr>
          <w:rFonts w:eastAsia="等线" w:ascii="Arial" w:cs="Arial" w:hAnsi="Arial"/>
          <w:sz w:val="22"/>
        </w:rPr>
        <w:t>Link expiry period;</w:t>
      </w:r>
    </w:p>
    <w:p>
      <w:pPr>
        <w:numPr>
          <w:numId w:val="113"/>
        </w:numPr>
        <w:spacing w:before="120" w:after="120" w:line="288" w:lineRule="auto"/>
        <w:ind w:left="0"/>
        <w:jc w:val="left"/>
      </w:pPr>
      <w:r>
        <w:rPr>
          <w:rFonts w:eastAsia="等线" w:ascii="Arial" w:cs="Arial" w:hAnsi="Arial"/>
          <w:sz w:val="22"/>
        </w:rPr>
        <w:t>password generation method;</w:t>
      </w:r>
    </w:p>
    <w:p>
      <w:pPr>
        <w:numPr>
          <w:numId w:val="114"/>
        </w:numPr>
        <w:spacing w:before="120" w:after="120" w:line="288" w:lineRule="auto"/>
        <w:ind w:left="0"/>
        <w:jc w:val="left"/>
      </w:pPr>
      <w:r>
        <w:rPr>
          <w:rFonts w:eastAsia="等线" w:ascii="Arial" w:cs="Arial" w:hAnsi="Arial"/>
          <w:sz w:val="22"/>
        </w:rPr>
        <w:t>password delivery method;</w:t>
      </w:r>
    </w:p>
    <w:p>
      <w:pPr>
        <w:numPr>
          <w:numId w:val="115"/>
        </w:numPr>
        <w:spacing w:before="120" w:after="120" w:line="288" w:lineRule="auto"/>
        <w:ind w:left="0"/>
        <w:jc w:val="left"/>
      </w:pPr>
      <w:r>
        <w:rPr>
          <w:rFonts w:eastAsia="等线" w:ascii="Arial" w:cs="Arial" w:hAnsi="Arial"/>
          <w:sz w:val="22"/>
        </w:rPr>
        <w:t>access logging;</w:t>
      </w:r>
    </w:p>
    <w:p>
      <w:pPr>
        <w:numPr>
          <w:numId w:val="116"/>
        </w:numPr>
        <w:spacing w:before="120" w:after="120" w:line="288" w:lineRule="auto"/>
        <w:ind w:left="0"/>
        <w:jc w:val="left"/>
      </w:pPr>
      <w:r>
        <w:rPr>
          <w:rFonts w:eastAsia="等线" w:ascii="Arial" w:cs="Arial" w:hAnsi="Arial"/>
          <w:sz w:val="22"/>
        </w:rPr>
        <w:t>revocation audit;</w:t>
      </w:r>
    </w:p>
    <w:p>
      <w:pPr>
        <w:numPr>
          <w:numId w:val="117"/>
        </w:numPr>
        <w:spacing w:before="120" w:after="120" w:line="288" w:lineRule="auto"/>
        <w:ind w:left="0"/>
        <w:jc w:val="left"/>
      </w:pPr>
      <w:r>
        <w:rPr>
          <w:rFonts w:eastAsia="等线" w:ascii="Arial" w:cs="Arial" w:hAnsi="Arial"/>
          <w:sz w:val="22"/>
        </w:rPr>
        <w:t>document list exposed in portal.</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YES for production SOA portal release.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b w:val="true"/>
          <w:sz w:val="32"/>
        </w:rPr>
        <w:t>NSD-04 — Inventory sync cadence</w:t>
      </w:r>
      <w:bookmarkEnd w:id="33"/>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NEEDS SCOPING / TECHNICAL DETAIL</w:t>
      </w:r>
    </w:p>
    <w:p>
      <w:pPr>
        <w:spacing w:before="120" w:after="120" w:line="288" w:lineRule="auto"/>
        <w:ind w:left="0"/>
        <w:jc w:val="left"/>
      </w:pPr>
      <w:r>
        <w:rPr>
          <w:rFonts w:eastAsia="等线" w:ascii="Arial" w:cs="Arial" w:hAnsi="Arial"/>
          <w:b w:val="true"/>
          <w:sz w:val="22"/>
        </w:rPr>
        <w:t>Issue:</w:t>
      </w:r>
      <w:r>
        <w:rPr>
          <w:rFonts w:eastAsia="等线" w:ascii="Arial" w:cs="Arial" w:hAnsi="Arial"/>
          <w:sz w:val="22"/>
        </w:rPr>
        <w:br/>
      </w:r>
      <w:r>
        <w:rPr>
          <w:rFonts w:eastAsia="等线" w:ascii="Arial" w:cs="Arial" w:hAnsi="Arial"/>
          <w:sz w:val="22"/>
        </w:rPr>
        <w:t>MAIA will reflect SAP inventory based on sync jobs. Sync cadence affects stock accuracy and user trust.</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[SAP-VENDOR | SAP sync / middleware architecture]</w:t>
      </w:r>
      <w:r>
        <w:rPr>
          <w:rFonts w:eastAsia="等线" w:ascii="Arial" w:cs="Arial" w:hAnsi="Arial"/>
          <w:sz w:val="22"/>
        </w:rPr>
        <w:br/>
      </w:r>
      <w:r>
        <w:rPr>
          <w:rFonts w:eastAsia="Consolas" w:ascii="Consolas" w:cs="Consolas" w:hAnsi="Consolas"/>
          <w:sz w:val="22"/>
          <w:shd w:fill="EFF0F1"/>
        </w:rPr>
        <w:t>[Mindhive internal decision | NS02]</w:t>
      </w:r>
    </w:p>
    <w:p>
      <w:pPr>
        <w:spacing w:before="120" w:after="120" w:line="288" w:lineRule="auto"/>
        <w:ind w:left="0"/>
        <w:jc w:val="left"/>
      </w:pPr>
      <w:r>
        <w:rPr>
          <w:rFonts w:eastAsia="等线" w:ascii="Arial" w:cs="Arial" w:hAnsi="Arial"/>
          <w:b w:val="true"/>
          <w:sz w:val="22"/>
        </w:rPr>
        <w:t>Required decision:</w:t>
      </w:r>
      <w:r>
        <w:rPr>
          <w:rFonts w:eastAsia="等线" w:ascii="Arial" w:cs="Arial" w:hAnsi="Arial"/>
          <w:sz w:val="22"/>
        </w:rPr>
        <w:br/>
      </w:r>
      <w:r>
        <w:rPr>
          <w:rFonts w:eastAsia="等线" w:ascii="Arial" w:cs="Arial" w:hAnsi="Arial"/>
          <w:sz w:val="22"/>
        </w:rPr>
        <w:t>Confirm acceptable sync interval and whether any objects need near-real-time sync.</w:t>
      </w:r>
    </w:p>
    <w:p>
      <w:pPr>
        <w:spacing w:before="120" w:after="120" w:line="288" w:lineRule="auto"/>
        <w:ind w:left="0"/>
        <w:jc w:val="left"/>
      </w:pPr>
      <w:r>
        <w:rPr>
          <w:rFonts w:eastAsia="等线" w:ascii="Arial" w:cs="Arial" w:hAnsi="Arial"/>
          <w:b w:val="true"/>
          <w:sz w:val="22"/>
        </w:rPr>
        <w:t>Blocking:</w:t>
      </w:r>
      <w:r>
        <w:rPr>
          <w:rFonts w:eastAsia="等线" w:ascii="Arial" w:cs="Arial" w:hAnsi="Arial"/>
          <w:sz w:val="22"/>
        </w:rPr>
        <w:t xml:space="preserve"> YES for inventory visibility acceptance.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4" w:id="34"/>
      <w:r>
        <w:rPr>
          <w:rFonts w:eastAsia="等线" w:ascii="Arial" w:cs="Arial" w:hAnsi="Arial"/>
          <w:color w:val="3370ff"/>
          <w:sz w:val="36"/>
        </w:rPr>
        <w:t xml:space="preserve">6. </w:t>
      </w:r>
      <w:r>
        <w:rPr>
          <w:rFonts w:eastAsia="等线" w:ascii="Arial" w:cs="Arial" w:hAnsi="Arial"/>
          <w:b w:val="true"/>
          <w:sz w:val="36"/>
        </w:rPr>
        <w:t>Resolved / Non-Blocking Technical Items</w:t>
      </w:r>
      <w:bookmarkEnd w:id="34"/>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5" w:id="35"/>
      <w:r>
        <w:rPr>
          <w:rFonts w:eastAsia="等线" w:ascii="Arial" w:cs="Arial" w:hAnsi="Arial"/>
          <w:b w:val="true"/>
          <w:sz w:val="32"/>
        </w:rPr>
        <w:t>R-01 — Vendor custom UDF / UDH support</w:t>
      </w:r>
      <w:bookmarkEnd w:id="3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RESOLVED AS OUT-OF-SCOPE BOUNDARY</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MAIA will not support custom UDF / UDH development in vendor third-party software as part of base development.</w:t>
      </w:r>
    </w:p>
    <w:p>
      <w:pPr>
        <w:spacing w:before="120" w:after="120" w:line="288" w:lineRule="auto"/>
        <w:ind w:left="0"/>
        <w:jc w:val="left"/>
      </w:pPr>
      <w:r>
        <w:rPr>
          <w:rFonts w:eastAsia="等线" w:ascii="Arial" w:cs="Arial" w:hAnsi="Arial"/>
          <w:b w:val="true"/>
          <w:sz w:val="22"/>
        </w:rPr>
        <w:t>Treatment:</w:t>
      </w:r>
      <w:r>
        <w:rPr>
          <w:rFonts w:eastAsia="等线" w:ascii="Arial" w:cs="Arial" w:hAnsi="Arial"/>
          <w:sz w:val="22"/>
        </w:rPr>
        <w:br/>
      </w:r>
      <w:r>
        <w:rPr>
          <w:rFonts w:eastAsia="等线" w:ascii="Arial" w:cs="Arial" w:hAnsi="Arial"/>
          <w:sz w:val="22"/>
        </w:rPr>
        <w:t>If a custom UDF / UDH limitation is identified as a blocker, Mindhive will raise it and scope it as a separate customization.</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[Mindhive internal decision | NSD-01 correction]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 w:id="36"/>
      <w:r>
        <w:rPr>
          <w:rFonts w:eastAsia="等线" w:ascii="Arial" w:cs="Arial" w:hAnsi="Arial"/>
          <w:b w:val="true"/>
          <w:sz w:val="32"/>
        </w:rPr>
        <w:t>R-02 — SAP endpoint coverage</w:t>
      </w:r>
      <w:bookmarkEnd w:id="36"/>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RESOLVED / NON-BLOCKING</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SAP endpoint coverage is not treated as a blocker in this document. The team already knows the integration path required.</w:t>
      </w:r>
    </w:p>
    <w:p>
      <w:pPr>
        <w:spacing w:before="120" w:after="120" w:line="288" w:lineRule="auto"/>
        <w:ind w:left="0"/>
        <w:jc w:val="left"/>
      </w:pPr>
      <w:r>
        <w:rPr>
          <w:rFonts w:eastAsia="等线" w:ascii="Arial" w:cs="Arial" w:hAnsi="Arial"/>
          <w:b w:val="true"/>
          <w:sz w:val="22"/>
        </w:rPr>
        <w:t>Treatment:</w:t>
      </w:r>
      <w:r>
        <w:rPr>
          <w:rFonts w:eastAsia="等线" w:ascii="Arial" w:cs="Arial" w:hAnsi="Arial"/>
          <w:sz w:val="22"/>
        </w:rPr>
        <w:br/>
      </w:r>
      <w:r>
        <w:rPr>
          <w:rFonts w:eastAsia="等线" w:ascii="Arial" w:cs="Arial" w:hAnsi="Arial"/>
          <w:sz w:val="22"/>
        </w:rPr>
        <w:t>Build proceeds on the known SAP integration path. Any unexpected endpoint limitation is escalated through delivery risk management, not treated as an unresolved scope question.</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[SAP-VENDOR | integration path]</w:t>
      </w:r>
      <w:r>
        <w:rPr>
          <w:rFonts w:eastAsia="等线" w:ascii="Arial" w:cs="Arial" w:hAnsi="Arial"/>
          <w:sz w:val="22"/>
        </w:rPr>
        <w:br/>
      </w:r>
      <w:r>
        <w:rPr>
          <w:rFonts w:eastAsia="Consolas" w:ascii="Consolas" w:cs="Consolas" w:hAnsi="Consolas"/>
          <w:sz w:val="22"/>
          <w:shd w:fill="EFF0F1"/>
        </w:rPr>
        <w:t>[Mindhive internal decision | NSD-02 correction]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b w:val="true"/>
          <w:sz w:val="32"/>
        </w:rPr>
        <w:t>R-03 — Payment receipt / voucher mapping</w:t>
      </w:r>
      <w:bookmarkEnd w:id="3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RESOLVED / NON-BLOCKING</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MAIA does not need prior scenario mapping to proceed. The user instructs MAIA whether to create a payment receipt or payment voucher.</w:t>
      </w:r>
    </w:p>
    <w:p>
      <w:pPr>
        <w:spacing w:before="120" w:after="120" w:line="288" w:lineRule="auto"/>
        <w:ind w:left="0"/>
        <w:jc w:val="left"/>
      </w:pPr>
      <w:r>
        <w:rPr>
          <w:rFonts w:eastAsia="等线" w:ascii="Arial" w:cs="Arial" w:hAnsi="Arial"/>
          <w:b w:val="true"/>
          <w:sz w:val="22"/>
        </w:rPr>
        <w:t>Treatment:</w:t>
      </w:r>
      <w:r>
        <w:rPr>
          <w:rFonts w:eastAsia="等线" w:ascii="Arial" w:cs="Arial" w:hAnsi="Arial"/>
          <w:sz w:val="22"/>
        </w:rPr>
        <w:br/>
      </w:r>
      <w:r>
        <w:rPr>
          <w:rFonts w:eastAsia="等线" w:ascii="Arial" w:cs="Arial" w:hAnsi="Arial"/>
          <w:sz w:val="22"/>
        </w:rPr>
        <w:t>The attachment is attached to the draft payment entry. Reconciliation and allocation of payment to invoices or other documents is manual and user-instructed.</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[Mindhive internal decision | NSD-06 correction]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8" w:id="38"/>
      <w:r>
        <w:rPr>
          <w:rFonts w:eastAsia="等线" w:ascii="Arial" w:cs="Arial" w:hAnsi="Arial"/>
          <w:b w:val="true"/>
          <w:sz w:val="32"/>
        </w:rPr>
        <w:t>R-04 — Fulfillment percentage calculation source</w:t>
      </w:r>
      <w:bookmarkEnd w:id="3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REMOVED</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The former NSD-08 item is removed. MAIA’s existing order listing and fulfillment logic applies.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9" w:id="39"/>
      <w:r>
        <w:rPr>
          <w:rFonts w:eastAsia="等线" w:ascii="Arial" w:cs="Arial" w:hAnsi="Arial"/>
          <w:color w:val="3370ff"/>
          <w:sz w:val="36"/>
        </w:rPr>
        <w:t xml:space="preserve">7. </w:t>
      </w:r>
      <w:r>
        <w:rPr>
          <w:rFonts w:eastAsia="等线" w:ascii="Arial" w:cs="Arial" w:hAnsi="Arial"/>
          <w:b w:val="true"/>
          <w:sz w:val="36"/>
        </w:rPr>
        <w:t>Supersessions Log</w:t>
      </w:r>
      <w:bookmarkEnd w:id="39"/>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0" w:id="40"/>
      <w:r>
        <w:rPr>
          <w:rFonts w:eastAsia="等线" w:ascii="Arial" w:cs="Arial" w:hAnsi="Arial"/>
          <w:b w:val="true"/>
          <w:sz w:val="32"/>
        </w:rPr>
        <w:t>SUP-01 — CPR / CPRN pre-order reservation replaced by committed-order visibility</w:t>
      </w:r>
      <w:bookmarkEnd w:id="40"/>
    </w:p>
    <w:p>
      <w:pPr>
        <w:spacing w:before="120" w:after="120" w:line="288" w:lineRule="auto"/>
        <w:ind w:left="0"/>
        <w:jc w:val="left"/>
      </w:pPr>
      <w:r>
        <w:rPr>
          <w:rFonts w:eastAsia="等线" w:ascii="Arial" w:cs="Arial" w:hAnsi="Arial"/>
          <w:b w:val="true"/>
          <w:sz w:val="22"/>
        </w:rPr>
        <w:t>Original idea:</w:t>
      </w:r>
      <w:r>
        <w:rPr>
          <w:rFonts w:eastAsia="等线" w:ascii="Arial" w:cs="Arial" w:hAnsi="Arial"/>
          <w:sz w:val="22"/>
        </w:rPr>
        <w:br/>
      </w:r>
      <w:r>
        <w:rPr>
          <w:rFonts w:eastAsia="等线" w:ascii="Arial" w:cs="Arial" w:hAnsi="Arial"/>
          <w:sz w:val="22"/>
        </w:rPr>
        <w:t>A CPR / CPRN / customer purchase request note concept was discussed in earlier proposal context as a way to track pre-order commitments or informal stock reservation.</w:t>
      </w:r>
    </w:p>
    <w:p>
      <w:pPr>
        <w:spacing w:before="120" w:after="120" w:line="288" w:lineRule="auto"/>
        <w:ind w:left="0"/>
        <w:jc w:val="left"/>
      </w:pPr>
      <w:r>
        <w:rPr>
          <w:rFonts w:eastAsia="等线" w:ascii="Arial" w:cs="Arial" w:hAnsi="Arial"/>
          <w:b w:val="true"/>
          <w:sz w:val="22"/>
        </w:rPr>
        <w:t>Current decision:</w:t>
      </w:r>
      <w:r>
        <w:rPr>
          <w:rFonts w:eastAsia="等线" w:ascii="Arial" w:cs="Arial" w:hAnsi="Arial"/>
          <w:sz w:val="22"/>
        </w:rPr>
        <w:br/>
      </w:r>
      <w:r>
        <w:rPr>
          <w:rFonts w:eastAsia="等线" w:ascii="Arial" w:cs="Arial" w:hAnsi="Arial"/>
          <w:sz w:val="22"/>
        </w:rPr>
        <w:t>CPR / CPRN is out of scope. The validated requirement is visibility into reserved / committed quantities tied to actual order flow.</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[FF-PROP | CPRN / customer purchase request note concept]</w:t>
      </w:r>
      <w:r>
        <w:rPr>
          <w:rFonts w:eastAsia="等线" w:ascii="Arial" w:cs="Arial" w:hAnsi="Arial"/>
          <w:sz w:val="22"/>
        </w:rPr>
        <w:br/>
      </w:r>
      <w:r>
        <w:rPr>
          <w:rFonts w:eastAsia="Consolas" w:ascii="Consolas" w:cs="Consolas" w:hAnsi="Consolas"/>
          <w:sz w:val="22"/>
          <w:shd w:fill="EFF0F1"/>
        </w:rPr>
        <w:t>[FF-RG-A | CPRN reframed as not common use case]</w:t>
      </w:r>
      <w:r>
        <w:rPr>
          <w:rFonts w:eastAsia="等线" w:ascii="Arial" w:cs="Arial" w:hAnsi="Arial"/>
          <w:sz w:val="22"/>
        </w:rPr>
        <w:br/>
      </w:r>
      <w:r>
        <w:rPr>
          <w:rFonts w:eastAsia="Consolas" w:ascii="Consolas" w:cs="Consolas" w:hAnsi="Consolas"/>
          <w:sz w:val="22"/>
          <w:shd w:fill="EFF0F1"/>
        </w:rPr>
        <w:t>[Mindhive internal decision | NS01]</w:t>
      </w:r>
    </w:p>
    <w:p>
      <w:pPr>
        <w:spacing w:before="120" w:after="120" w:line="288" w:lineRule="auto"/>
        <w:ind w:left="0"/>
        <w:jc w:val="left"/>
      </w:pPr>
      <w:r>
        <w:rPr>
          <w:rFonts w:eastAsia="等线" w:ascii="Arial" w:cs="Arial" w:hAnsi="Arial"/>
          <w:b w:val="true"/>
          <w:sz w:val="22"/>
        </w:rPr>
        <w:t>Client agreed?</w:t>
      </w:r>
      <w:r>
        <w:rPr>
          <w:rFonts w:eastAsia="等线" w:ascii="Arial" w:cs="Arial" w:hAnsi="Arial"/>
          <w:sz w:val="22"/>
        </w:rPr>
        <w:br/>
      </w:r>
      <w:r>
        <w:rPr>
          <w:rFonts w:eastAsia="等线" w:ascii="Arial" w:cs="Arial" w:hAnsi="Arial"/>
          <w:sz w:val="22"/>
        </w:rPr>
        <w:t>Validated in requirements gathering as not a common use case.</w:t>
      </w:r>
    </w:p>
    <w:p>
      <w:pPr>
        <w:spacing w:before="120" w:after="120" w:line="288" w:lineRule="auto"/>
        <w:ind w:left="0"/>
        <w:jc w:val="left"/>
      </w:pPr>
      <w:r>
        <w:rPr>
          <w:rFonts w:eastAsia="等线" w:ascii="Arial" w:cs="Arial" w:hAnsi="Arial"/>
          <w:b w:val="true"/>
          <w:sz w:val="22"/>
        </w:rPr>
        <w:t>Current status:</w:t>
      </w:r>
      <w:r>
        <w:rPr>
          <w:rFonts w:eastAsia="等线" w:ascii="Arial" w:cs="Arial" w:hAnsi="Arial"/>
          <w:sz w:val="22"/>
        </w:rPr>
        <w:br/>
      </w:r>
      <w:r>
        <w:rPr>
          <w:rFonts w:eastAsia="等线" w:ascii="Arial" w:cs="Arial" w:hAnsi="Arial"/>
          <w:sz w:val="22"/>
        </w:rPr>
        <w:t>OUT OF SCOPE.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1" w:id="41"/>
      <w:r>
        <w:rPr>
          <w:rFonts w:eastAsia="等线" w:ascii="Arial" w:cs="Arial" w:hAnsi="Arial"/>
          <w:b w:val="true"/>
          <w:sz w:val="32"/>
        </w:rPr>
        <w:t>SUP-02 — Stock transformation engine excluded from MAIA</w:t>
      </w:r>
      <w:bookmarkEnd w:id="41"/>
    </w:p>
    <w:p>
      <w:pPr>
        <w:spacing w:before="120" w:after="120" w:line="288" w:lineRule="auto"/>
        <w:ind w:left="0"/>
        <w:jc w:val="left"/>
      </w:pPr>
      <w:r>
        <w:rPr>
          <w:rFonts w:eastAsia="等线" w:ascii="Arial" w:cs="Arial" w:hAnsi="Arial"/>
          <w:b w:val="true"/>
          <w:sz w:val="22"/>
        </w:rPr>
        <w:t>Original idea:</w:t>
      </w:r>
      <w:r>
        <w:rPr>
          <w:rFonts w:eastAsia="等线" w:ascii="Arial" w:cs="Arial" w:hAnsi="Arial"/>
          <w:sz w:val="22"/>
        </w:rPr>
        <w:br/>
      </w:r>
      <w:r>
        <w:rPr>
          <w:rFonts w:eastAsia="等线" w:ascii="Arial" w:cs="Arial" w:hAnsi="Arial"/>
          <w:sz w:val="22"/>
        </w:rPr>
        <w:t>GST’s seafood processing and stock transformation was explored as a possible MAIA capability.</w:t>
      </w:r>
    </w:p>
    <w:p>
      <w:pPr>
        <w:spacing w:before="120" w:after="120" w:line="288" w:lineRule="auto"/>
        <w:ind w:left="0"/>
        <w:jc w:val="left"/>
      </w:pPr>
      <w:r>
        <w:rPr>
          <w:rFonts w:eastAsia="等线" w:ascii="Arial" w:cs="Arial" w:hAnsi="Arial"/>
          <w:b w:val="true"/>
          <w:sz w:val="22"/>
        </w:rPr>
        <w:t>Current decision:</w:t>
      </w:r>
      <w:r>
        <w:rPr>
          <w:rFonts w:eastAsia="等线" w:ascii="Arial" w:cs="Arial" w:hAnsi="Arial"/>
          <w:sz w:val="22"/>
        </w:rPr>
        <w:br/>
      </w:r>
      <w:r>
        <w:rPr>
          <w:rFonts w:eastAsia="等线" w:ascii="Arial" w:cs="Arial" w:hAnsi="Arial"/>
          <w:sz w:val="22"/>
        </w:rPr>
        <w:t>MAIA will not support GST’s custom SAP stock transformation workflow. Users continue performing stock transformation in SAP.</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stock transformation discussion]</w:t>
      </w:r>
      <w:r>
        <w:rPr>
          <w:rFonts w:eastAsia="等线" w:ascii="Arial" w:cs="Arial" w:hAnsi="Arial"/>
          <w:sz w:val="22"/>
        </w:rPr>
        <w:br/>
      </w:r>
      <w:r>
        <w:rPr>
          <w:rFonts w:eastAsia="Consolas" w:ascii="Consolas" w:cs="Consolas" w:hAnsi="Consolas"/>
          <w:sz w:val="22"/>
          <w:shd w:fill="EFF0F1"/>
        </w:rPr>
        <w:t>[SAP-VENDOR | SAP stock transformation custom feature]</w:t>
      </w:r>
      <w:r>
        <w:rPr>
          <w:rFonts w:eastAsia="等线" w:ascii="Arial" w:cs="Arial" w:hAnsi="Arial"/>
          <w:sz w:val="22"/>
        </w:rPr>
        <w:br/>
      </w:r>
      <w:r>
        <w:rPr>
          <w:rFonts w:eastAsia="Consolas" w:ascii="Consolas" w:cs="Consolas" w:hAnsi="Consolas"/>
          <w:sz w:val="22"/>
          <w:shd w:fill="EFF0F1"/>
        </w:rPr>
        <w:t>[Mindhive internal decision | NS02]</w:t>
      </w:r>
    </w:p>
    <w:p>
      <w:pPr>
        <w:spacing w:before="120" w:after="120" w:line="288" w:lineRule="auto"/>
        <w:ind w:left="0"/>
        <w:jc w:val="left"/>
      </w:pPr>
      <w:r>
        <w:rPr>
          <w:rFonts w:eastAsia="等线" w:ascii="Arial" w:cs="Arial" w:hAnsi="Arial"/>
          <w:b w:val="true"/>
          <w:sz w:val="22"/>
        </w:rPr>
        <w:t>Rationale:</w:t>
      </w:r>
      <w:r>
        <w:rPr>
          <w:rFonts w:eastAsia="等线" w:ascii="Arial" w:cs="Arial" w:hAnsi="Arial"/>
          <w:sz w:val="22"/>
        </w:rPr>
        <w:br/>
      </w:r>
      <w:r>
        <w:rPr>
          <w:rFonts w:eastAsia="等线" w:ascii="Arial" w:cs="Arial" w:hAnsi="Arial"/>
          <w:sz w:val="22"/>
        </w:rPr>
        <w:t>GST’s transformation module is not standard BOM. It is a custom SAP module. MAIA will sync inventory after SAP transformation.</w:t>
      </w:r>
    </w:p>
    <w:p>
      <w:pPr>
        <w:spacing w:before="120" w:after="120" w:line="288" w:lineRule="auto"/>
        <w:ind w:left="0"/>
        <w:jc w:val="left"/>
      </w:pPr>
      <w:r>
        <w:rPr>
          <w:rFonts w:eastAsia="等线" w:ascii="Arial" w:cs="Arial" w:hAnsi="Arial"/>
          <w:b w:val="true"/>
          <w:sz w:val="22"/>
        </w:rPr>
        <w:t>Current status:</w:t>
      </w:r>
      <w:r>
        <w:rPr>
          <w:rFonts w:eastAsia="等线" w:ascii="Arial" w:cs="Arial" w:hAnsi="Arial"/>
          <w:sz w:val="22"/>
        </w:rPr>
        <w:br/>
      </w:r>
      <w:r>
        <w:rPr>
          <w:rFonts w:eastAsia="等线" w:ascii="Arial" w:cs="Arial" w:hAnsi="Arial"/>
          <w:sz w:val="22"/>
        </w:rPr>
        <w:t>OUT OF SCOPE.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2" w:id="42"/>
      <w:r>
        <w:rPr>
          <w:rFonts w:eastAsia="等线" w:ascii="Arial" w:cs="Arial" w:hAnsi="Arial"/>
          <w:b w:val="true"/>
          <w:sz w:val="32"/>
        </w:rPr>
        <w:t>SUP-03 — Batch / expiry alerts replaced by movement-based slow stock reports</w:t>
      </w:r>
      <w:bookmarkEnd w:id="42"/>
    </w:p>
    <w:p>
      <w:pPr>
        <w:spacing w:before="120" w:after="120" w:line="288" w:lineRule="auto"/>
        <w:ind w:left="0"/>
        <w:jc w:val="left"/>
      </w:pPr>
      <w:r>
        <w:rPr>
          <w:rFonts w:eastAsia="等线" w:ascii="Arial" w:cs="Arial" w:hAnsi="Arial"/>
          <w:b w:val="true"/>
          <w:sz w:val="22"/>
        </w:rPr>
        <w:t>Original idea:</w:t>
      </w:r>
      <w:r>
        <w:rPr>
          <w:rFonts w:eastAsia="等线" w:ascii="Arial" w:cs="Arial" w:hAnsi="Arial"/>
          <w:sz w:val="22"/>
        </w:rPr>
        <w:br/>
      </w:r>
      <w:r>
        <w:rPr>
          <w:rFonts w:eastAsia="等线" w:ascii="Arial" w:cs="Arial" w:hAnsi="Arial"/>
          <w:sz w:val="22"/>
        </w:rPr>
        <w:t>Expiry, aging, or batch-based alerts were discussed.</w:t>
      </w:r>
    </w:p>
    <w:p>
      <w:pPr>
        <w:spacing w:before="120" w:after="120" w:line="288" w:lineRule="auto"/>
        <w:ind w:left="0"/>
        <w:jc w:val="left"/>
      </w:pPr>
      <w:r>
        <w:rPr>
          <w:rFonts w:eastAsia="等线" w:ascii="Arial" w:cs="Arial" w:hAnsi="Arial"/>
          <w:b w:val="true"/>
          <w:sz w:val="22"/>
        </w:rPr>
        <w:t>Current decision:</w:t>
      </w:r>
      <w:r>
        <w:rPr>
          <w:rFonts w:eastAsia="等线" w:ascii="Arial" w:cs="Arial" w:hAnsi="Arial"/>
          <w:sz w:val="22"/>
        </w:rPr>
        <w:br/>
      </w:r>
      <w:r>
        <w:rPr>
          <w:rFonts w:eastAsia="等线" w:ascii="Arial" w:cs="Arial" w:hAnsi="Arial"/>
          <w:sz w:val="22"/>
        </w:rPr>
        <w:t>Because GST does not capture batch number or expiry data in the required structured form, MAIA will not provide batch-expiry alerts. MAIA will instead surface slow-moving stock via reports, notifications, warehouse dashboard, stock aging reports, and stock movement reports.</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batch / expiry limitation]</w:t>
      </w:r>
      <w:r>
        <w:rPr>
          <w:rFonts w:eastAsia="等线" w:ascii="Arial" w:cs="Arial" w:hAnsi="Arial"/>
          <w:sz w:val="22"/>
        </w:rPr>
        <w:br/>
      </w:r>
      <w:r>
        <w:rPr>
          <w:rFonts w:eastAsia="Consolas" w:ascii="Consolas" w:cs="Consolas" w:hAnsi="Consolas"/>
          <w:sz w:val="22"/>
          <w:shd w:fill="EFF0F1"/>
        </w:rPr>
        <w:t>[Mindhive internal decision | NS04]</w:t>
      </w:r>
    </w:p>
    <w:p>
      <w:pPr>
        <w:spacing w:before="120" w:after="120" w:line="288" w:lineRule="auto"/>
        <w:ind w:left="0"/>
        <w:jc w:val="left"/>
      </w:pPr>
      <w:r>
        <w:rPr>
          <w:rFonts w:eastAsia="等线" w:ascii="Arial" w:cs="Arial" w:hAnsi="Arial"/>
          <w:b w:val="true"/>
          <w:sz w:val="22"/>
        </w:rPr>
        <w:t>Current status:</w:t>
      </w:r>
      <w:r>
        <w:rPr>
          <w:rFonts w:eastAsia="等线" w:ascii="Arial" w:cs="Arial" w:hAnsi="Arial"/>
          <w:sz w:val="22"/>
        </w:rPr>
        <w:br/>
      </w:r>
      <w:r>
        <w:rPr>
          <w:rFonts w:eastAsia="等线" w:ascii="Arial" w:cs="Arial" w:hAnsi="Arial"/>
          <w:sz w:val="22"/>
        </w:rPr>
        <w:t>Batch / expiry alerts OUT OF SCOPE; movement-based slow stock visibility IN SCOPE.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3" w:id="43"/>
      <w:r>
        <w:rPr>
          <w:rFonts w:eastAsia="等线" w:ascii="Arial" w:cs="Arial" w:hAnsi="Arial"/>
          <w:b w:val="true"/>
          <w:sz w:val="32"/>
        </w:rPr>
        <w:t>SUP-04 — Excel planning / purchasing calculator excluded</w:t>
      </w:r>
      <w:bookmarkEnd w:id="43"/>
    </w:p>
    <w:p>
      <w:pPr>
        <w:spacing w:before="120" w:after="120" w:line="288" w:lineRule="auto"/>
        <w:ind w:left="0"/>
        <w:jc w:val="left"/>
      </w:pPr>
      <w:r>
        <w:rPr>
          <w:rFonts w:eastAsia="等线" w:ascii="Arial" w:cs="Arial" w:hAnsi="Arial"/>
          <w:b w:val="true"/>
          <w:sz w:val="22"/>
        </w:rPr>
        <w:t>Original idea:</w:t>
      </w:r>
      <w:r>
        <w:rPr>
          <w:rFonts w:eastAsia="等线" w:ascii="Arial" w:cs="Arial" w:hAnsi="Arial"/>
          <w:sz w:val="22"/>
        </w:rPr>
        <w:br/>
      </w:r>
      <w:r>
        <w:rPr>
          <w:rFonts w:eastAsia="等线" w:ascii="Arial" w:cs="Arial" w:hAnsi="Arial"/>
          <w:sz w:val="22"/>
        </w:rPr>
        <w:t>An Excel export or planning / purchasing support item was discussed.</w:t>
      </w:r>
    </w:p>
    <w:p>
      <w:pPr>
        <w:spacing w:before="120" w:after="120" w:line="288" w:lineRule="auto"/>
        <w:ind w:left="0"/>
        <w:jc w:val="left"/>
      </w:pPr>
      <w:r>
        <w:rPr>
          <w:rFonts w:eastAsia="等线" w:ascii="Arial" w:cs="Arial" w:hAnsi="Arial"/>
          <w:b w:val="true"/>
          <w:sz w:val="22"/>
        </w:rPr>
        <w:t>Current decision:</w:t>
      </w:r>
      <w:r>
        <w:rPr>
          <w:rFonts w:eastAsia="等线" w:ascii="Arial" w:cs="Arial" w:hAnsi="Arial"/>
          <w:sz w:val="22"/>
        </w:rPr>
        <w:br/>
      </w:r>
      <w:r>
        <w:rPr>
          <w:rFonts w:eastAsia="等线" w:ascii="Arial" w:cs="Arial" w:hAnsi="Arial"/>
          <w:sz w:val="22"/>
        </w:rPr>
        <w:t>Excel planning / purchasing calculator is out of scope.</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planning Excel unclear]</w:t>
      </w:r>
      <w:r>
        <w:rPr>
          <w:rFonts w:eastAsia="等线" w:ascii="Arial" w:cs="Arial" w:hAnsi="Arial"/>
          <w:sz w:val="22"/>
        </w:rPr>
        <w:br/>
      </w:r>
      <w:r>
        <w:rPr>
          <w:rFonts w:eastAsia="Consolas" w:ascii="Consolas" w:cs="Consolas" w:hAnsi="Consolas"/>
          <w:sz w:val="22"/>
          <w:shd w:fill="EFF0F1"/>
        </w:rPr>
        <w:t>[Mindhive internal decision | NS05]</w:t>
      </w:r>
    </w:p>
    <w:p>
      <w:pPr>
        <w:spacing w:before="120" w:after="120" w:line="288" w:lineRule="auto"/>
        <w:ind w:left="0"/>
        <w:jc w:val="left"/>
      </w:pPr>
      <w:r>
        <w:rPr>
          <w:rFonts w:eastAsia="等线" w:ascii="Arial" w:cs="Arial" w:hAnsi="Arial"/>
          <w:b w:val="true"/>
          <w:sz w:val="22"/>
        </w:rPr>
        <w:t>Rationale:</w:t>
      </w:r>
      <w:r>
        <w:rPr>
          <w:rFonts w:eastAsia="等线" w:ascii="Arial" w:cs="Arial" w:hAnsi="Arial"/>
          <w:sz w:val="22"/>
        </w:rPr>
        <w:br/>
      </w:r>
      <w:r>
        <w:rPr>
          <w:rFonts w:eastAsia="等线" w:ascii="Arial" w:cs="Arial" w:hAnsi="Arial"/>
          <w:sz w:val="22"/>
        </w:rPr>
        <w:t>Stakeholders present in detailed requirements gathering were unsure of the direct or detailed requirements. This is not safe to treat as scoped.</w:t>
      </w:r>
    </w:p>
    <w:p>
      <w:pPr>
        <w:spacing w:before="120" w:after="120" w:line="288" w:lineRule="auto"/>
        <w:ind w:left="0"/>
        <w:jc w:val="left"/>
      </w:pPr>
      <w:r>
        <w:rPr>
          <w:rFonts w:eastAsia="等线" w:ascii="Arial" w:cs="Arial" w:hAnsi="Arial"/>
          <w:b w:val="true"/>
          <w:sz w:val="22"/>
        </w:rPr>
        <w:t>Current status:</w:t>
      </w:r>
      <w:r>
        <w:rPr>
          <w:rFonts w:eastAsia="等线" w:ascii="Arial" w:cs="Arial" w:hAnsi="Arial"/>
          <w:sz w:val="22"/>
        </w:rPr>
        <w:br/>
      </w:r>
      <w:r>
        <w:rPr>
          <w:rFonts w:eastAsia="等线" w:ascii="Arial" w:cs="Arial" w:hAnsi="Arial"/>
          <w:sz w:val="22"/>
        </w:rPr>
        <w:t>OUT OF SCOPE.</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4" w:id="44"/>
      <w:r>
        <w:rPr>
          <w:rFonts w:eastAsia="等线" w:ascii="Arial" w:cs="Arial" w:hAnsi="Arial"/>
          <w:color w:val="3370ff"/>
          <w:sz w:val="36"/>
        </w:rPr>
        <w:t xml:space="preserve">8. </w:t>
      </w:r>
      <w:r>
        <w:rPr>
          <w:rFonts w:eastAsia="等线" w:ascii="Arial" w:cs="Arial" w:hAnsi="Arial"/>
          <w:b w:val="true"/>
          <w:sz w:val="36"/>
        </w:rPr>
        <w:t>Out-of-Scope / Explicit Exclusions</w:t>
      </w:r>
      <w:bookmarkEnd w:id="44"/>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5" w:id="45"/>
      <w:r>
        <w:rPr>
          <w:rFonts w:eastAsia="等线" w:ascii="Arial" w:cs="Arial" w:hAnsi="Arial"/>
          <w:b w:val="true"/>
          <w:sz w:val="32"/>
        </w:rPr>
        <w:t>OOS-01 — CPR / CPRN / pre-confirmation stock reservation</w:t>
      </w:r>
      <w:bookmarkEnd w:id="45"/>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OUT OF SCOPE</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CPR / CPRN is not in scope for the current build.</w:t>
      </w:r>
    </w:p>
    <w:p>
      <w:pPr>
        <w:spacing w:before="120" w:after="120" w:line="288" w:lineRule="auto"/>
        <w:ind w:left="0"/>
        <w:jc w:val="left"/>
      </w:pPr>
      <w:r>
        <w:rPr>
          <w:rFonts w:eastAsia="等线" w:ascii="Arial" w:cs="Arial" w:hAnsi="Arial"/>
          <w:b w:val="true"/>
          <w:sz w:val="22"/>
        </w:rPr>
        <w:t>Rationale:</w:t>
      </w:r>
      <w:r>
        <w:rPr>
          <w:rFonts w:eastAsia="等线" w:ascii="Arial" w:cs="Arial" w:hAnsi="Arial"/>
          <w:sz w:val="22"/>
        </w:rPr>
        <w:br/>
      </w:r>
      <w:r>
        <w:rPr>
          <w:rFonts w:eastAsia="等线" w:ascii="Arial" w:cs="Arial" w:hAnsi="Arial"/>
          <w:sz w:val="22"/>
        </w:rPr>
        <w:t>During requirements gathering, this was validated as not a common use case for GST. Stock reservation before order confirmation is not frequent enough to justify current-phase scope.</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CPRN not common use case]</w:t>
      </w:r>
      <w:r>
        <w:rPr>
          <w:rFonts w:eastAsia="等线" w:ascii="Arial" w:cs="Arial" w:hAnsi="Arial"/>
          <w:sz w:val="22"/>
        </w:rPr>
        <w:br/>
      </w:r>
      <w:r>
        <w:rPr>
          <w:rFonts w:eastAsia="Consolas" w:ascii="Consolas" w:cs="Consolas" w:hAnsi="Consolas"/>
          <w:sz w:val="22"/>
          <w:shd w:fill="EFF0F1"/>
        </w:rPr>
        <w:t>[Mindhive internal decision | NS01]</w:t>
      </w:r>
    </w:p>
    <w:p>
      <w:pPr>
        <w:spacing w:before="120" w:after="120" w:line="288" w:lineRule="auto"/>
        <w:ind w:left="0"/>
        <w:jc w:val="left"/>
      </w:pPr>
      <w:r>
        <w:rPr>
          <w:rFonts w:eastAsia="等线" w:ascii="Arial" w:cs="Arial" w:hAnsi="Arial"/>
          <w:b w:val="true"/>
          <w:sz w:val="22"/>
        </w:rPr>
        <w:t>Current in-scope substitute:</w:t>
      </w:r>
      <w:r>
        <w:rPr>
          <w:rFonts w:eastAsia="等线" w:ascii="Arial" w:cs="Arial" w:hAnsi="Arial"/>
          <w:sz w:val="22"/>
        </w:rPr>
        <w:br/>
      </w:r>
      <w:r>
        <w:rPr>
          <w:rFonts w:eastAsia="等线" w:ascii="Arial" w:cs="Arial" w:hAnsi="Arial"/>
          <w:sz w:val="22"/>
        </w:rPr>
        <w:t>Inventory visual cues and reserved quantity visibility in actual quotation / SO / DN flow.</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6" w:id="46"/>
      <w:r>
        <w:rPr>
          <w:rFonts w:eastAsia="等线" w:ascii="Arial" w:cs="Arial" w:hAnsi="Arial"/>
          <w:b w:val="true"/>
          <w:sz w:val="32"/>
        </w:rPr>
        <w:t>OOS-02 — GST SAP stock transformation workflow</w:t>
      </w:r>
      <w:bookmarkEnd w:id="46"/>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OUT OF SCOPE</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MAIA will not support GST’s custom SAP stock transformation workflow.</w:t>
      </w:r>
    </w:p>
    <w:p>
      <w:pPr>
        <w:spacing w:before="120" w:after="120" w:line="288" w:lineRule="auto"/>
        <w:ind w:left="0"/>
        <w:jc w:val="left"/>
      </w:pPr>
      <w:r>
        <w:rPr>
          <w:rFonts w:eastAsia="等线" w:ascii="Arial" w:cs="Arial" w:hAnsi="Arial"/>
          <w:b w:val="true"/>
          <w:sz w:val="22"/>
        </w:rPr>
        <w:t>Rationale:</w:t>
      </w:r>
      <w:r>
        <w:rPr>
          <w:rFonts w:eastAsia="等线" w:ascii="Arial" w:cs="Arial" w:hAnsi="Arial"/>
          <w:sz w:val="22"/>
        </w:rPr>
        <w:br/>
      </w:r>
      <w:r>
        <w:rPr>
          <w:rFonts w:eastAsia="等线" w:ascii="Arial" w:cs="Arial" w:hAnsi="Arial"/>
          <w:sz w:val="22"/>
        </w:rPr>
        <w:t>GST’s stock transformation module is customized in SAP and is not standard BOM.</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stock transformation custom workflow]</w:t>
      </w:r>
      <w:r>
        <w:rPr>
          <w:rFonts w:eastAsia="等线" w:ascii="Arial" w:cs="Arial" w:hAnsi="Arial"/>
          <w:sz w:val="22"/>
        </w:rPr>
        <w:br/>
      </w:r>
      <w:r>
        <w:rPr>
          <w:rFonts w:eastAsia="Consolas" w:ascii="Consolas" w:cs="Consolas" w:hAnsi="Consolas"/>
          <w:sz w:val="22"/>
          <w:shd w:fill="EFF0F1"/>
        </w:rPr>
        <w:t>[SAP-VENDOR | stock transformation]</w:t>
      </w:r>
      <w:r>
        <w:rPr>
          <w:rFonts w:eastAsia="等线" w:ascii="Arial" w:cs="Arial" w:hAnsi="Arial"/>
          <w:sz w:val="22"/>
        </w:rPr>
        <w:br/>
      </w:r>
      <w:r>
        <w:rPr>
          <w:rFonts w:eastAsia="Consolas" w:ascii="Consolas" w:cs="Consolas" w:hAnsi="Consolas"/>
          <w:sz w:val="22"/>
          <w:shd w:fill="EFF0F1"/>
        </w:rPr>
        <w:t>[Mindhive internal decision | NS02]</w:t>
      </w:r>
    </w:p>
    <w:p>
      <w:pPr>
        <w:spacing w:before="120" w:after="120" w:line="288" w:lineRule="auto"/>
        <w:ind w:left="0"/>
        <w:jc w:val="left"/>
      </w:pPr>
      <w:r>
        <w:rPr>
          <w:rFonts w:eastAsia="等线" w:ascii="Arial" w:cs="Arial" w:hAnsi="Arial"/>
          <w:b w:val="true"/>
          <w:sz w:val="22"/>
        </w:rPr>
        <w:t>MAIA behaviour:</w:t>
      </w:r>
      <w:r>
        <w:rPr>
          <w:rFonts w:eastAsia="等线" w:ascii="Arial" w:cs="Arial" w:hAnsi="Arial"/>
          <w:sz w:val="22"/>
        </w:rPr>
        <w:br/>
      </w:r>
      <w:r>
        <w:rPr>
          <w:rFonts w:eastAsia="等线" w:ascii="Arial" w:cs="Arial" w:hAnsi="Arial"/>
          <w:sz w:val="22"/>
        </w:rPr>
        <w:t>Users continue performing stock transformation in SAP. MAIA reflects latest SAP inventory quantities after scheduled sync.</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7" w:id="47"/>
      <w:r>
        <w:rPr>
          <w:rFonts w:eastAsia="等线" w:ascii="Arial" w:cs="Arial" w:hAnsi="Arial"/>
          <w:b w:val="true"/>
          <w:sz w:val="32"/>
        </w:rPr>
        <w:t>OOS-03 — SAP item master / UOM reconfiguration</w:t>
      </w:r>
      <w:bookmarkEnd w:id="47"/>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OUT OF SCOPE</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MAIA will not reconfigure or change GST’s item master setup.</w:t>
      </w:r>
    </w:p>
    <w:p>
      <w:pPr>
        <w:spacing w:before="120" w:after="120" w:line="288" w:lineRule="auto"/>
        <w:ind w:left="0"/>
        <w:jc w:val="left"/>
      </w:pPr>
      <w:r>
        <w:rPr>
          <w:rFonts w:eastAsia="等线" w:ascii="Arial" w:cs="Arial" w:hAnsi="Arial"/>
          <w:b w:val="true"/>
          <w:sz w:val="22"/>
        </w:rPr>
        <w:t>Rationale:</w:t>
      </w:r>
      <w:r>
        <w:rPr>
          <w:rFonts w:eastAsia="等线" w:ascii="Arial" w:cs="Arial" w:hAnsi="Arial"/>
          <w:sz w:val="22"/>
        </w:rPr>
        <w:br/>
      </w:r>
      <w:r>
        <w:rPr>
          <w:rFonts w:eastAsia="等线" w:ascii="Arial" w:cs="Arial" w:hAnsi="Arial"/>
          <w:sz w:val="22"/>
        </w:rPr>
        <w:t>The KG / NOS / variable-weight fish issue is an operational challenge tied to GST’s current SAP item master and stock transformation configuration.</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KG vs NOS operational issue]</w:t>
      </w:r>
      <w:r>
        <w:rPr>
          <w:rFonts w:eastAsia="等线" w:ascii="Arial" w:cs="Arial" w:hAnsi="Arial"/>
          <w:sz w:val="22"/>
        </w:rPr>
        <w:br/>
      </w:r>
      <w:r>
        <w:rPr>
          <w:rFonts w:eastAsia="Consolas" w:ascii="Consolas" w:cs="Consolas" w:hAnsi="Consolas"/>
          <w:sz w:val="22"/>
          <w:shd w:fill="EFF0F1"/>
        </w:rPr>
        <w:t>[Mindhive internal decision | NS03]</w:t>
      </w:r>
    </w:p>
    <w:p>
      <w:pPr>
        <w:spacing w:before="120" w:after="120" w:line="288" w:lineRule="auto"/>
        <w:ind w:left="0"/>
        <w:jc w:val="left"/>
      </w:pPr>
      <w:r>
        <w:rPr>
          <w:rFonts w:eastAsia="等线" w:ascii="Arial" w:cs="Arial" w:hAnsi="Arial"/>
          <w:b w:val="true"/>
          <w:sz w:val="22"/>
        </w:rPr>
        <w:t>MAIA behaviour:</w:t>
      </w:r>
      <w:r>
        <w:rPr>
          <w:rFonts w:eastAsia="等线" w:ascii="Arial" w:cs="Arial" w:hAnsi="Arial"/>
          <w:sz w:val="22"/>
        </w:rPr>
        <w:br/>
      </w:r>
      <w:r>
        <w:rPr>
          <w:rFonts w:eastAsia="等线" w:ascii="Arial" w:cs="Arial" w:hAnsi="Arial"/>
          <w:sz w:val="22"/>
        </w:rPr>
        <w:t>MAIA syncs item master data from SAP as-is.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8" w:id="48"/>
      <w:r>
        <w:rPr>
          <w:rFonts w:eastAsia="等线" w:ascii="Arial" w:cs="Arial" w:hAnsi="Arial"/>
          <w:b w:val="true"/>
          <w:sz w:val="32"/>
        </w:rPr>
        <w:t>OOS-04 — Batch-number / expiry-date alerts</w:t>
      </w:r>
      <w:bookmarkEnd w:id="48"/>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OUT OF SCOPE</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MAIA will not support batch-number or expiry-date alerting in current scope.</w:t>
      </w:r>
    </w:p>
    <w:p>
      <w:pPr>
        <w:spacing w:before="120" w:after="120" w:line="288" w:lineRule="auto"/>
        <w:ind w:left="0"/>
        <w:jc w:val="left"/>
      </w:pPr>
      <w:r>
        <w:rPr>
          <w:rFonts w:eastAsia="等线" w:ascii="Arial" w:cs="Arial" w:hAnsi="Arial"/>
          <w:b w:val="true"/>
          <w:sz w:val="22"/>
        </w:rPr>
        <w:t>Rationale:</w:t>
      </w:r>
      <w:r>
        <w:rPr>
          <w:rFonts w:eastAsia="等线" w:ascii="Arial" w:cs="Arial" w:hAnsi="Arial"/>
          <w:sz w:val="22"/>
        </w:rPr>
        <w:br/>
      </w:r>
      <w:r>
        <w:rPr>
          <w:rFonts w:eastAsia="等线" w:ascii="Arial" w:cs="Arial" w:hAnsi="Arial"/>
          <w:sz w:val="22"/>
        </w:rPr>
        <w:t>GST does not capture batch number or expiry-related data in the required structured form.</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batch / expiry data unavailable]</w:t>
      </w:r>
      <w:r>
        <w:rPr>
          <w:rFonts w:eastAsia="等线" w:ascii="Arial" w:cs="Arial" w:hAnsi="Arial"/>
          <w:sz w:val="22"/>
        </w:rPr>
        <w:br/>
      </w:r>
      <w:r>
        <w:rPr>
          <w:rFonts w:eastAsia="Consolas" w:ascii="Consolas" w:cs="Consolas" w:hAnsi="Consolas"/>
          <w:sz w:val="22"/>
          <w:shd w:fill="EFF0F1"/>
        </w:rPr>
        <w:t>[Mindhive internal decision | NS04]</w:t>
      </w:r>
    </w:p>
    <w:p>
      <w:pPr>
        <w:spacing w:before="120" w:after="120" w:line="288" w:lineRule="auto"/>
        <w:ind w:left="0"/>
        <w:jc w:val="left"/>
      </w:pPr>
      <w:r>
        <w:rPr>
          <w:rFonts w:eastAsia="等线" w:ascii="Arial" w:cs="Arial" w:hAnsi="Arial"/>
          <w:b w:val="true"/>
          <w:sz w:val="22"/>
        </w:rPr>
        <w:t>In-scope alternative:</w:t>
      </w:r>
      <w:r>
        <w:rPr>
          <w:rFonts w:eastAsia="等线" w:ascii="Arial" w:cs="Arial" w:hAnsi="Arial"/>
          <w:sz w:val="22"/>
        </w:rPr>
        <w:br/>
      </w:r>
      <w:r>
        <w:rPr>
          <w:rFonts w:eastAsia="等线" w:ascii="Arial" w:cs="Arial" w:hAnsi="Arial"/>
          <w:sz w:val="22"/>
        </w:rPr>
        <w:t>Movement-based slow stock visibility and reports.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9" w:id="49"/>
      <w:r>
        <w:rPr>
          <w:rFonts w:eastAsia="等线" w:ascii="Arial" w:cs="Arial" w:hAnsi="Arial"/>
          <w:b w:val="true"/>
          <w:sz w:val="32"/>
        </w:rPr>
        <w:t>OOS-05 — Excel planning / purchasing calculator</w:t>
      </w:r>
      <w:bookmarkEnd w:id="49"/>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OUT OF SCOPE</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Excel planning / purchasing calculator is out of scope.</w:t>
      </w:r>
    </w:p>
    <w:p>
      <w:pPr>
        <w:spacing w:before="120" w:after="120" w:line="288" w:lineRule="auto"/>
        <w:ind w:left="0"/>
        <w:jc w:val="left"/>
      </w:pPr>
      <w:r>
        <w:rPr>
          <w:rFonts w:eastAsia="等线" w:ascii="Arial" w:cs="Arial" w:hAnsi="Arial"/>
          <w:b w:val="true"/>
          <w:sz w:val="22"/>
        </w:rPr>
        <w:t>Rationale:</w:t>
      </w:r>
      <w:r>
        <w:rPr>
          <w:rFonts w:eastAsia="等线" w:ascii="Arial" w:cs="Arial" w:hAnsi="Arial"/>
          <w:sz w:val="22"/>
        </w:rPr>
        <w:br/>
      </w:r>
      <w:r>
        <w:rPr>
          <w:rFonts w:eastAsia="等线" w:ascii="Arial" w:cs="Arial" w:hAnsi="Arial"/>
          <w:sz w:val="22"/>
        </w:rPr>
        <w:t>The stakeholders present in detailed requirements gathering were unsure of the direct or detailed requirements. This cannot be safely built as a scoped item.</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[FF-RG-A | planning / purchasing unclear]</w:t>
      </w:r>
      <w:r>
        <w:rPr>
          <w:rFonts w:eastAsia="等线" w:ascii="Arial" w:cs="Arial" w:hAnsi="Arial"/>
          <w:sz w:val="22"/>
        </w:rPr>
        <w:br/>
      </w:r>
      <w:r>
        <w:rPr>
          <w:rFonts w:eastAsia="Consolas" w:ascii="Consolas" w:cs="Consolas" w:hAnsi="Consolas"/>
          <w:sz w:val="22"/>
          <w:shd w:fill="EFF0F1"/>
        </w:rPr>
        <w:t>[Mindhive internal decision | NS05]</w:t>
      </w:r>
    </w:p>
    <w:p>
      <w:pPr>
        <w:spacing w:before="120" w:after="120" w:line="288" w:lineRule="auto"/>
        <w:ind w:left="0"/>
        <w:jc w:val="left"/>
      </w:pPr>
      <w:r>
        <w:rPr>
          <w:rFonts w:eastAsia="等线" w:ascii="Arial" w:cs="Arial" w:hAnsi="Arial"/>
          <w:b w:val="true"/>
          <w:sz w:val="22"/>
        </w:rPr>
        <w:t>Future handling:</w:t>
      </w:r>
      <w:r>
        <w:rPr>
          <w:rFonts w:eastAsia="等线" w:ascii="Arial" w:cs="Arial" w:hAnsi="Arial"/>
          <w:sz w:val="22"/>
        </w:rPr>
        <w:br/>
      </w:r>
      <w:r>
        <w:rPr>
          <w:rFonts w:eastAsia="等线" w:ascii="Arial" w:cs="Arial" w:hAnsi="Arial"/>
          <w:sz w:val="22"/>
        </w:rPr>
        <w:t>Requires separate scoping if revived.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0" w:id="50"/>
      <w:r>
        <w:rPr>
          <w:rFonts w:eastAsia="等线" w:ascii="Arial" w:cs="Arial" w:hAnsi="Arial"/>
          <w:b w:val="true"/>
          <w:sz w:val="32"/>
        </w:rPr>
        <w:t>OOS-06 — Vendor custom UDF / UDH development</w:t>
      </w:r>
      <w:bookmarkEnd w:id="50"/>
    </w:p>
    <w:p>
      <w:pPr>
        <w:spacing w:before="120" w:after="120" w:line="288" w:lineRule="auto"/>
        <w:ind w:left="0"/>
        <w:jc w:val="left"/>
      </w:pPr>
      <w:r>
        <w:rPr>
          <w:rFonts w:eastAsia="等线" w:ascii="Arial" w:cs="Arial" w:hAnsi="Arial"/>
          <w:b w:val="true"/>
          <w:sz w:val="22"/>
        </w:rPr>
        <w:t>Status:</w:t>
      </w:r>
      <w:r>
        <w:rPr>
          <w:rFonts w:eastAsia="等线" w:ascii="Arial" w:cs="Arial" w:hAnsi="Arial"/>
          <w:sz w:val="22"/>
        </w:rPr>
        <w:t xml:space="preserve"> OUT OF SCOPE</w:t>
      </w:r>
    </w:p>
    <w:p>
      <w:pPr>
        <w:spacing w:before="120" w:after="120" w:line="288" w:lineRule="auto"/>
        <w:ind w:left="0"/>
        <w:jc w:val="left"/>
      </w:pPr>
      <w:r>
        <w:rPr>
          <w:rFonts w:eastAsia="等线" w:ascii="Arial" w:cs="Arial" w:hAnsi="Arial"/>
          <w:b w:val="true"/>
          <w:sz w:val="22"/>
        </w:rPr>
        <w:t>Decision:</w:t>
      </w:r>
      <w:r>
        <w:rPr>
          <w:rFonts w:eastAsia="等线" w:ascii="Arial" w:cs="Arial" w:hAnsi="Arial"/>
          <w:sz w:val="22"/>
        </w:rPr>
        <w:br/>
      </w:r>
      <w:r>
        <w:rPr>
          <w:rFonts w:eastAsia="等线" w:ascii="Arial" w:cs="Arial" w:hAnsi="Arial"/>
          <w:sz w:val="22"/>
        </w:rPr>
        <w:t>MAIA will not support custom UDF / UDH development inside vendor third-party software in base development.</w:t>
      </w:r>
    </w:p>
    <w:p>
      <w:pPr>
        <w:spacing w:before="120" w:after="120" w:line="288" w:lineRule="auto"/>
        <w:ind w:left="0"/>
        <w:jc w:val="left"/>
      </w:pPr>
      <w:r>
        <w:rPr>
          <w:rFonts w:eastAsia="等线" w:ascii="Arial" w:cs="Arial" w:hAnsi="Arial"/>
          <w:b w:val="true"/>
          <w:sz w:val="22"/>
        </w:rPr>
        <w:t>Rationale:</w:t>
      </w:r>
      <w:r>
        <w:rPr>
          <w:rFonts w:eastAsia="等线" w:ascii="Arial" w:cs="Arial" w:hAnsi="Arial"/>
          <w:sz w:val="22"/>
        </w:rPr>
        <w:br/>
      </w:r>
      <w:r>
        <w:rPr>
          <w:rFonts w:eastAsia="等线" w:ascii="Arial" w:cs="Arial" w:hAnsi="Arial"/>
          <w:sz w:val="22"/>
        </w:rPr>
        <w:t>MAIA should not absorb third-party vendor customization as implied base scope. If a custom vendor-side UDF / UDH limitation becomes a blocker, it must be raised and scoped out as a separate customization.</w:t>
      </w:r>
    </w:p>
    <w:p>
      <w:pPr>
        <w:spacing w:before="120" w:after="120" w:line="288" w:lineRule="auto"/>
        <w:ind w:left="0"/>
        <w:jc w:val="left"/>
      </w:pPr>
      <w:r>
        <w:rPr>
          <w:rFonts w:eastAsia="等线" w:ascii="Arial" w:cs="Arial" w:hAnsi="Arial"/>
          <w:b w:val="true"/>
          <w:sz w:val="22"/>
        </w:rPr>
        <w:t>Source trail:</w:t>
      </w:r>
      <w:r>
        <w:rPr>
          <w:rFonts w:eastAsia="等线" w:ascii="Arial" w:cs="Arial" w:hAnsi="Arial"/>
          <w:sz w:val="22"/>
        </w:rPr>
        <w:br/>
      </w:r>
      <w:r>
        <w:rPr>
          <w:rFonts w:eastAsia="Consolas" w:ascii="Consolas" w:cs="Consolas" w:hAnsi="Consolas"/>
          <w:sz w:val="22"/>
          <w:shd w:fill="EFF0F1"/>
        </w:rPr>
        <w:t>[Mindhive internal decision | NSD-01 correction]</w:t>
      </w:r>
    </w:p>
    <w:p>
      <w:pPr>
        <w:spacing w:before="120" w:after="120" w:line="288" w:lineRule="auto"/>
        <w:ind w:left="0"/>
        <w:jc w:val="left"/>
      </w:pPr>
      <w:r>
        <w:rPr>
          <w:rFonts w:eastAsia="等线" w:ascii="Arial" w:cs="Arial" w:hAnsi="Arial"/>
          <w:b w:val="true"/>
          <w:sz w:val="22"/>
        </w:rPr>
        <w:t>Future handling:</w:t>
      </w:r>
      <w:r>
        <w:rPr>
          <w:rFonts w:eastAsia="等线" w:ascii="Arial" w:cs="Arial" w:hAnsi="Arial"/>
          <w:sz w:val="22"/>
        </w:rPr>
        <w:br/>
      </w:r>
      <w:r>
        <w:rPr>
          <w:rFonts w:eastAsia="等线" w:ascii="Arial" w:cs="Arial" w:hAnsi="Arial"/>
          <w:sz w:val="22"/>
        </w:rPr>
        <w:t>Raise as customization if required.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1" w:id="51"/>
      <w:r>
        <w:rPr>
          <w:rFonts w:eastAsia="等线" w:ascii="Arial" w:cs="Arial" w:hAnsi="Arial"/>
          <w:color w:val="3370ff"/>
          <w:sz w:val="36"/>
        </w:rPr>
        <w:t xml:space="preserve">9. </w:t>
      </w:r>
      <w:r>
        <w:rPr>
          <w:rFonts w:eastAsia="等线" w:ascii="Arial" w:cs="Arial" w:hAnsi="Arial"/>
          <w:b w:val="true"/>
          <w:sz w:val="36"/>
        </w:rPr>
        <w:t>Source-Conflict Register</w:t>
      </w:r>
      <w:bookmarkEnd w:id="51"/>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2" w:id="52"/>
      <w:r>
        <w:rPr>
          <w:rFonts w:eastAsia="等线" w:ascii="Arial" w:cs="Arial" w:hAnsi="Arial"/>
          <w:b w:val="true"/>
          <w:sz w:val="32"/>
        </w:rPr>
        <w:t>SC-01 — CPRN sold idea vs RG validation</w:t>
      </w:r>
      <w:bookmarkEnd w:id="52"/>
    </w:p>
    <w:p>
      <w:pPr>
        <w:spacing w:before="120" w:after="120" w:line="288" w:lineRule="auto"/>
        <w:ind w:left="0"/>
      </w:pPr>
      <w:r>
        <w:object>
          <v:shape id="_x0000_i1029" style="width:414pt;height:177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Resolution:</w:t>
      </w:r>
      <w:r>
        <w:rPr>
          <w:rFonts w:eastAsia="等线" w:ascii="Arial" w:cs="Arial" w:hAnsi="Arial"/>
          <w:sz w:val="22"/>
        </w:rPr>
        <w:br/>
      </w:r>
      <w:r>
        <w:rPr>
          <w:rFonts w:eastAsia="等线" w:ascii="Arial" w:cs="Arial" w:hAnsi="Arial"/>
          <w:sz w:val="22"/>
        </w:rPr>
        <w:t>CPR / CPRN is OUT OF SCOPE. Current build supports reserved quantity visibility in actual document/order flow.</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3" w:id="53"/>
      <w:r>
        <w:rPr>
          <w:rFonts w:eastAsia="等线" w:ascii="Arial" w:cs="Arial" w:hAnsi="Arial"/>
          <w:b w:val="true"/>
          <w:sz w:val="32"/>
        </w:rPr>
        <w:t>SC-02 — Stock transformation need vs MAIA capability</w:t>
      </w:r>
      <w:bookmarkEnd w:id="53"/>
    </w:p>
    <w:p>
      <w:pPr>
        <w:spacing w:before="120" w:after="120" w:line="288" w:lineRule="auto"/>
        <w:ind w:left="0"/>
      </w:pPr>
      <w:r>
        <w:object>
          <v:shape id="_x0000_i1030" style="width:414pt;height:177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Resolution:</w:t>
      </w:r>
      <w:r>
        <w:rPr>
          <w:rFonts w:eastAsia="等线" w:ascii="Arial" w:cs="Arial" w:hAnsi="Arial"/>
          <w:sz w:val="22"/>
        </w:rPr>
        <w:br/>
      </w:r>
      <w:r>
        <w:rPr>
          <w:rFonts w:eastAsia="等线" w:ascii="Arial" w:cs="Arial" w:hAnsi="Arial"/>
          <w:sz w:val="22"/>
        </w:rPr>
        <w:t>Stock transformation remains in SAP. MAIA syncs resulting inventory quantities.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4" w:id="54"/>
      <w:r>
        <w:rPr>
          <w:rFonts w:eastAsia="等线" w:ascii="Arial" w:cs="Arial" w:hAnsi="Arial"/>
          <w:b w:val="true"/>
          <w:sz w:val="32"/>
        </w:rPr>
        <w:t>SC-03 — Expiry alerts vs missing batch data</w:t>
      </w:r>
      <w:bookmarkEnd w:id="54"/>
    </w:p>
    <w:p>
      <w:pPr>
        <w:spacing w:before="120" w:after="120" w:line="288" w:lineRule="auto"/>
        <w:ind w:left="0"/>
      </w:pPr>
      <w:r>
        <w:object>
          <v:shape id="_x0000_i1031" style="width:414pt;height:150pt;mso-width-percent:0;mso-height-percent:0;mso-width-percent:0;mso-height-percent:0" type="#_x0000_t75" o:ole="">
            <v:imagedata r:id="rId18" o:title=""/>
          </v:shape>
          <o:OLEObject DrawAspect="Icon" ObjectID="_1718471225" ProgID="Excel.Sheet.12" ShapeID="_x0000_i1031" Type="Embed" r:id="rId1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Resolution:</w:t>
      </w:r>
      <w:r>
        <w:rPr>
          <w:rFonts w:eastAsia="等线" w:ascii="Arial" w:cs="Arial" w:hAnsi="Arial"/>
          <w:sz w:val="22"/>
        </w:rPr>
        <w:br/>
      </w:r>
      <w:r>
        <w:rPr>
          <w:rFonts w:eastAsia="等线" w:ascii="Arial" w:cs="Arial" w:hAnsi="Arial"/>
          <w:sz w:val="22"/>
        </w:rPr>
        <w:t>Do not promise expiry alerts. Build slow-moving stock notifications and reports.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5" w:id="55"/>
      <w:r>
        <w:rPr>
          <w:rFonts w:eastAsia="等线" w:ascii="Arial" w:cs="Arial" w:hAnsi="Arial"/>
          <w:b w:val="true"/>
          <w:sz w:val="32"/>
        </w:rPr>
        <w:t>SC-04 — Rich SAP Blanket Agreement vs current MAIA blanket order capability</w:t>
      </w:r>
      <w:bookmarkEnd w:id="55"/>
    </w:p>
    <w:p>
      <w:pPr>
        <w:spacing w:before="120" w:after="120" w:line="288" w:lineRule="auto"/>
        <w:ind w:left="0"/>
      </w:pPr>
      <w:r>
        <w:object>
          <v:shape id="_x0000_i1032" style="width:414pt;height:107pt;mso-width-percent:0;mso-height-percent:0;mso-width-percent:0;mso-height-percent:0" type="#_x0000_t75" o:ole="">
            <v:imagedata r:id="rId20" o:title=""/>
          </v:shape>
          <o:OLEObject DrawAspect="Icon" ObjectID="_1718471226" ProgID="Excel.Sheet.12" ShapeID="_x0000_i1032"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Resolution:</w:t>
      </w:r>
      <w:r>
        <w:rPr>
          <w:rFonts w:eastAsia="等线" w:ascii="Arial" w:cs="Arial" w:hAnsi="Arial"/>
          <w:sz w:val="22"/>
        </w:rPr>
        <w:br/>
      </w:r>
      <w:r>
        <w:rPr>
          <w:rFonts w:eastAsia="等线" w:ascii="Arial" w:cs="Arial" w:hAnsi="Arial"/>
          <w:sz w:val="22"/>
        </w:rPr>
        <w:t>Blanket Order / Agreement support is locked in scope, but requires SAP behaviour mapping.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6" w:id="56"/>
      <w:r>
        <w:rPr>
          <w:rFonts w:eastAsia="等线" w:ascii="Arial" w:cs="Arial" w:hAnsi="Arial"/>
          <w:b w:val="true"/>
          <w:sz w:val="32"/>
        </w:rPr>
        <w:t>SC-05 — Document generation scope vs missing samples</w:t>
      </w:r>
      <w:bookmarkEnd w:id="56"/>
    </w:p>
    <w:p>
      <w:pPr>
        <w:spacing w:before="120" w:after="120" w:line="288" w:lineRule="auto"/>
        <w:ind w:left="0"/>
      </w:pPr>
      <w:r>
        <w:object>
          <v:shape id="_x0000_i1033" style="width:414pt;height:150pt;mso-width-percent:0;mso-height-percent:0;mso-width-percent:0;mso-height-percent:0" type="#_x0000_t75" o:ole="">
            <v:imagedata r:id="rId22" o:title=""/>
          </v:shape>
          <o:OLEObject DrawAspect="Icon" ObjectID="_1718471227" ProgID="Excel.Sheet.12" ShapeID="_x0000_i1033"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Resolution:</w:t>
      </w:r>
      <w:r>
        <w:rPr>
          <w:rFonts w:eastAsia="等线" w:ascii="Arial" w:cs="Arial" w:hAnsi="Arial"/>
          <w:sz w:val="22"/>
        </w:rPr>
        <w:br/>
      </w:r>
      <w:r>
        <w:rPr>
          <w:rFonts w:eastAsia="等线" w:ascii="Arial" w:cs="Arial" w:hAnsi="Arial"/>
          <w:sz w:val="22"/>
        </w:rPr>
        <w:t>Document format matching is in scope, but UAT cannot close until samples are provided.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7" w:id="57"/>
      <w:r>
        <w:rPr>
          <w:rFonts w:eastAsia="等线" w:ascii="Arial" w:cs="Arial" w:hAnsi="Arial"/>
          <w:b w:val="true"/>
          <w:sz w:val="32"/>
        </w:rPr>
        <w:t>SC-06 — SAP UDF / UDH exposure vs base MAIA scope</w:t>
      </w:r>
      <w:bookmarkEnd w:id="57"/>
    </w:p>
    <w:p>
      <w:pPr>
        <w:spacing w:before="120" w:after="120" w:line="288" w:lineRule="auto"/>
        <w:ind w:left="0"/>
      </w:pPr>
      <w:r>
        <w:object>
          <v:shape id="_x0000_i1034" style="width:414pt;height:107pt;mso-width-percent:0;mso-height-percent:0;mso-width-percent:0;mso-height-percent:0" type="#_x0000_t75" o:ole="">
            <v:imagedata r:id="rId24" o:title=""/>
          </v:shape>
          <o:OLEObject DrawAspect="Icon" ObjectID="_1718471228" ProgID="Excel.Sheet.12" ShapeID="_x0000_i1034"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Resolution:</w:t>
      </w:r>
      <w:r>
        <w:rPr>
          <w:rFonts w:eastAsia="等线" w:ascii="Arial" w:cs="Arial" w:hAnsi="Arial"/>
          <w:sz w:val="22"/>
        </w:rPr>
        <w:br/>
      </w:r>
      <w:r>
        <w:rPr>
          <w:rFonts w:eastAsia="等线" w:ascii="Arial" w:cs="Arial" w:hAnsi="Arial"/>
          <w:sz w:val="22"/>
        </w:rPr>
        <w:t>Base MAIA does not absorb vendor UDF / UDH customization. If it blocks delivery, it is raised and separately scoped.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58" w:id="58"/>
      <w:r>
        <w:rPr>
          <w:rFonts w:eastAsia="等线" w:ascii="Arial" w:cs="Arial" w:hAnsi="Arial"/>
          <w:color w:val="3370ff"/>
          <w:sz w:val="36"/>
        </w:rPr>
        <w:t xml:space="preserve">10. </w:t>
      </w:r>
      <w:r>
        <w:rPr>
          <w:rFonts w:eastAsia="等线" w:ascii="Arial" w:cs="Arial" w:hAnsi="Arial"/>
          <w:b w:val="true"/>
          <w:sz w:val="36"/>
        </w:rPr>
        <w:t>Client Confirmation Agenda</w:t>
      </w:r>
      <w:bookmarkEnd w:id="58"/>
    </w:p>
    <w:p>
      <w:pPr>
        <w:spacing w:before="120" w:after="120" w:line="288" w:lineRule="auto"/>
        <w:ind w:left="0"/>
        <w:jc w:val="left"/>
      </w:pPr>
      <w:r>
        <w:rPr>
          <w:rFonts w:eastAsia="等线" w:ascii="Arial" w:cs="Arial" w:hAnsi="Arial"/>
          <w:sz w:val="22"/>
        </w:rPr>
        <w:t>These questions should be taken to GST / SAP vendor. They should be phrased as confirmation or required input, not broad discovery.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9" w:id="59"/>
      <w:r>
        <w:rPr>
          <w:rFonts w:eastAsia="等线" w:ascii="Arial" w:cs="Arial" w:hAnsi="Arial"/>
          <w:b w:val="true"/>
          <w:sz w:val="32"/>
        </w:rPr>
        <w:t>10.1 Document Formats</w:t>
      </w:r>
      <w:bookmarkEnd w:id="59"/>
    </w:p>
    <w:p>
      <w:pPr>
        <w:numPr>
          <w:numId w:val="118"/>
        </w:numPr>
        <w:spacing w:before="120" w:after="120" w:line="288" w:lineRule="auto"/>
        <w:ind w:left="0"/>
        <w:jc w:val="left"/>
      </w:pPr>
      <w:r>
        <w:rPr>
          <w:rFonts w:eastAsia="等线" w:ascii="Arial" w:cs="Arial" w:hAnsi="Arial"/>
          <w:sz w:val="22"/>
        </w:rPr>
        <w:t>Please provide sample formats for every document GST expects MAIA to generate.</w:t>
      </w:r>
    </w:p>
    <w:p>
      <w:pPr>
        <w:numPr>
          <w:numId w:val="119"/>
        </w:numPr>
        <w:spacing w:before="120" w:after="120" w:line="288" w:lineRule="auto"/>
        <w:ind w:left="0"/>
        <w:jc w:val="left"/>
      </w:pPr>
      <w:r>
        <w:rPr>
          <w:rFonts w:eastAsia="等线" w:ascii="Arial" w:cs="Arial" w:hAnsi="Arial"/>
          <w:sz w:val="22"/>
        </w:rPr>
        <w:t>Confirm which documents are in Phase 1:</w:t>
      </w:r>
    </w:p>
    <w:p>
      <w:pPr>
        <w:numPr>
          <w:numId w:val="120"/>
        </w:numPr>
        <w:spacing w:before="120" w:after="120" w:line="288" w:lineRule="auto"/>
        <w:ind w:left="453"/>
        <w:jc w:val="left"/>
      </w:pPr>
      <w:r>
        <w:rPr>
          <w:rFonts w:eastAsia="等线" w:ascii="Arial" w:cs="Arial" w:hAnsi="Arial"/>
          <w:sz w:val="22"/>
        </w:rPr>
        <w:t>quotation;</w:t>
      </w:r>
    </w:p>
    <w:p>
      <w:pPr>
        <w:numPr>
          <w:numId w:val="121"/>
        </w:numPr>
        <w:spacing w:before="120" w:after="120" w:line="288" w:lineRule="auto"/>
        <w:ind w:left="453"/>
        <w:jc w:val="left"/>
      </w:pPr>
      <w:r>
        <w:rPr>
          <w:rFonts w:eastAsia="等线" w:ascii="Arial" w:cs="Arial" w:hAnsi="Arial"/>
          <w:sz w:val="22"/>
        </w:rPr>
        <w:t>sales order;</w:t>
      </w:r>
    </w:p>
    <w:p>
      <w:pPr>
        <w:numPr>
          <w:numId w:val="122"/>
        </w:numPr>
        <w:spacing w:before="120" w:after="120" w:line="288" w:lineRule="auto"/>
        <w:ind w:left="453"/>
        <w:jc w:val="left"/>
      </w:pPr>
      <w:r>
        <w:rPr>
          <w:rFonts w:eastAsia="等线" w:ascii="Arial" w:cs="Arial" w:hAnsi="Arial"/>
          <w:sz w:val="22"/>
        </w:rPr>
        <w:t>delivery note;</w:t>
      </w:r>
    </w:p>
    <w:p>
      <w:pPr>
        <w:numPr>
          <w:numId w:val="123"/>
        </w:numPr>
        <w:spacing w:before="120" w:after="120" w:line="288" w:lineRule="auto"/>
        <w:ind w:left="453"/>
        <w:jc w:val="left"/>
      </w:pPr>
      <w:r>
        <w:rPr>
          <w:rFonts w:eastAsia="等线" w:ascii="Arial" w:cs="Arial" w:hAnsi="Arial"/>
          <w:sz w:val="22"/>
        </w:rPr>
        <w:t>invoice;</w:t>
      </w:r>
    </w:p>
    <w:p>
      <w:pPr>
        <w:numPr>
          <w:numId w:val="124"/>
        </w:numPr>
        <w:spacing w:before="120" w:after="120" w:line="288" w:lineRule="auto"/>
        <w:ind w:left="453"/>
        <w:jc w:val="left"/>
      </w:pPr>
      <w:r>
        <w:rPr>
          <w:rFonts w:eastAsia="等线" w:ascii="Arial" w:cs="Arial" w:hAnsi="Arial"/>
          <w:sz w:val="22"/>
        </w:rPr>
        <w:t>credit note;</w:t>
      </w:r>
    </w:p>
    <w:p>
      <w:pPr>
        <w:numPr>
          <w:numId w:val="125"/>
        </w:numPr>
        <w:spacing w:before="120" w:after="120" w:line="288" w:lineRule="auto"/>
        <w:ind w:left="453"/>
        <w:jc w:val="left"/>
      </w:pPr>
      <w:r>
        <w:rPr>
          <w:rFonts w:eastAsia="等线" w:ascii="Arial" w:cs="Arial" w:hAnsi="Arial"/>
          <w:sz w:val="22"/>
        </w:rPr>
        <w:t>receipt;</w:t>
      </w:r>
    </w:p>
    <w:p>
      <w:pPr>
        <w:numPr>
          <w:numId w:val="126"/>
        </w:numPr>
        <w:spacing w:before="120" w:after="120" w:line="288" w:lineRule="auto"/>
        <w:ind w:left="453"/>
        <w:jc w:val="left"/>
      </w:pPr>
      <w:r>
        <w:rPr>
          <w:rFonts w:eastAsia="等线" w:ascii="Arial" w:cs="Arial" w:hAnsi="Arial"/>
          <w:sz w:val="22"/>
        </w:rPr>
        <w:t>SOA;</w:t>
      </w:r>
    </w:p>
    <w:p>
      <w:pPr>
        <w:numPr>
          <w:numId w:val="127"/>
        </w:numPr>
        <w:spacing w:before="120" w:after="120" w:line="288" w:lineRule="auto"/>
        <w:ind w:left="453"/>
        <w:jc w:val="left"/>
      </w:pPr>
      <w:r>
        <w:rPr>
          <w:rFonts w:eastAsia="等线" w:ascii="Arial" w:cs="Arial" w:hAnsi="Arial"/>
          <w:sz w:val="22"/>
        </w:rPr>
        <w:t>pick list.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0" w:id="60"/>
      <w:r>
        <w:rPr>
          <w:rFonts w:eastAsia="等线" w:ascii="Arial" w:cs="Arial" w:hAnsi="Arial"/>
          <w:b w:val="true"/>
          <w:sz w:val="32"/>
        </w:rPr>
        <w:t>10.2 Blanket Order / Agreement</w:t>
      </w:r>
      <w:bookmarkEnd w:id="60"/>
    </w:p>
    <w:p>
      <w:pPr>
        <w:numPr>
          <w:numId w:val="128"/>
        </w:numPr>
        <w:spacing w:before="120" w:after="120" w:line="288" w:lineRule="auto"/>
        <w:ind w:left="0"/>
        <w:jc w:val="left"/>
      </w:pPr>
      <w:r>
        <w:rPr>
          <w:rFonts w:eastAsia="等线" w:ascii="Arial" w:cs="Arial" w:hAnsi="Arial"/>
          <w:sz w:val="22"/>
        </w:rPr>
        <w:t>Please walk through GST’s SAP Blanket Order / Blanket Agreement behaviour.</w:t>
      </w:r>
    </w:p>
    <w:p>
      <w:pPr>
        <w:numPr>
          <w:numId w:val="129"/>
        </w:numPr>
        <w:spacing w:before="120" w:after="120" w:line="288" w:lineRule="auto"/>
        <w:ind w:left="0"/>
        <w:jc w:val="left"/>
      </w:pPr>
      <w:r>
        <w:rPr>
          <w:rFonts w:eastAsia="等线" w:ascii="Arial" w:cs="Arial" w:hAnsi="Arial"/>
          <w:sz w:val="22"/>
        </w:rPr>
        <w:t>Confirm which fields MAIA must support.</w:t>
      </w:r>
    </w:p>
    <w:p>
      <w:pPr>
        <w:numPr>
          <w:numId w:val="130"/>
        </w:numPr>
        <w:spacing w:before="120" w:after="120" w:line="288" w:lineRule="auto"/>
        <w:ind w:left="0"/>
        <w:jc w:val="left"/>
      </w:pPr>
      <w:r>
        <w:rPr>
          <w:rFonts w:eastAsia="等线" w:ascii="Arial" w:cs="Arial" w:hAnsi="Arial"/>
          <w:sz w:val="22"/>
        </w:rPr>
        <w:t>Confirm how Blanket Agreement pricing applies during quotation and sales order creation.</w:t>
      </w:r>
    </w:p>
    <w:p>
      <w:pPr>
        <w:numPr>
          <w:numId w:val="131"/>
        </w:numPr>
        <w:spacing w:before="120" w:after="120" w:line="288" w:lineRule="auto"/>
        <w:ind w:left="0"/>
        <w:jc w:val="left"/>
      </w:pPr>
      <w:r>
        <w:rPr>
          <w:rFonts w:eastAsia="等线" w:ascii="Arial" w:cs="Arial" w:hAnsi="Arial"/>
          <w:sz w:val="22"/>
        </w:rPr>
        <w:t>Confirm how expired / missing / conflicting agreements should behave.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1" w:id="61"/>
      <w:r>
        <w:rPr>
          <w:rFonts w:eastAsia="等线" w:ascii="Arial" w:cs="Arial" w:hAnsi="Arial"/>
          <w:b w:val="true"/>
          <w:sz w:val="32"/>
        </w:rPr>
        <w:t>10.3 SOA Portal</w:t>
      </w:r>
      <w:bookmarkEnd w:id="61"/>
    </w:p>
    <w:p>
      <w:pPr>
        <w:numPr>
          <w:numId w:val="132"/>
        </w:numPr>
        <w:spacing w:before="120" w:after="120" w:line="288" w:lineRule="auto"/>
        <w:ind w:left="0"/>
        <w:jc w:val="left"/>
      </w:pPr>
      <w:r>
        <w:rPr>
          <w:rFonts w:eastAsia="等线" w:ascii="Arial" w:cs="Arial" w:hAnsi="Arial"/>
          <w:sz w:val="22"/>
        </w:rPr>
        <w:t>Confirm SOA link validity period.</w:t>
      </w:r>
    </w:p>
    <w:p>
      <w:pPr>
        <w:numPr>
          <w:numId w:val="133"/>
        </w:numPr>
        <w:spacing w:before="120" w:after="120" w:line="288" w:lineRule="auto"/>
        <w:ind w:left="0"/>
        <w:jc w:val="left"/>
      </w:pPr>
      <w:r>
        <w:rPr>
          <w:rFonts w:eastAsia="等线" w:ascii="Arial" w:cs="Arial" w:hAnsi="Arial"/>
          <w:sz w:val="22"/>
        </w:rPr>
        <w:t>Confirm password generation method.</w:t>
      </w:r>
    </w:p>
    <w:p>
      <w:pPr>
        <w:numPr>
          <w:numId w:val="134"/>
        </w:numPr>
        <w:spacing w:before="120" w:after="120" w:line="288" w:lineRule="auto"/>
        <w:ind w:left="0"/>
        <w:jc w:val="left"/>
      </w:pPr>
      <w:r>
        <w:rPr>
          <w:rFonts w:eastAsia="等线" w:ascii="Arial" w:cs="Arial" w:hAnsi="Arial"/>
          <w:sz w:val="22"/>
        </w:rPr>
        <w:t>Confirm password delivery method.</w:t>
      </w:r>
    </w:p>
    <w:p>
      <w:pPr>
        <w:numPr>
          <w:numId w:val="135"/>
        </w:numPr>
        <w:spacing w:before="120" w:after="120" w:line="288" w:lineRule="auto"/>
        <w:ind w:left="0"/>
        <w:jc w:val="left"/>
      </w:pPr>
      <w:r>
        <w:rPr>
          <w:rFonts w:eastAsia="等线" w:ascii="Arial" w:cs="Arial" w:hAnsi="Arial"/>
          <w:sz w:val="22"/>
        </w:rPr>
        <w:t>Confirm whether access logs are required.</w:t>
      </w:r>
    </w:p>
    <w:p>
      <w:pPr>
        <w:numPr>
          <w:numId w:val="136"/>
        </w:numPr>
        <w:spacing w:before="120" w:after="120" w:line="288" w:lineRule="auto"/>
        <w:ind w:left="0"/>
        <w:jc w:val="left"/>
      </w:pPr>
      <w:r>
        <w:rPr>
          <w:rFonts w:eastAsia="等线" w:ascii="Arial" w:cs="Arial" w:hAnsi="Arial"/>
          <w:sz w:val="22"/>
        </w:rPr>
        <w:t>Confirm which documents appear in the SOA portal.</w:t>
      </w:r>
    </w:p>
    <w:p>
      <w:pPr>
        <w:numPr>
          <w:numId w:val="137"/>
        </w:numPr>
        <w:spacing w:before="120" w:after="120" w:line="288" w:lineRule="auto"/>
        <w:ind w:left="0"/>
        <w:jc w:val="left"/>
      </w:pPr>
      <w:r>
        <w:rPr>
          <w:rFonts w:eastAsia="等线" w:ascii="Arial" w:cs="Arial" w:hAnsi="Arial"/>
          <w:sz w:val="22"/>
        </w:rPr>
        <w:t>Confirm which user roles can generate and revoke links.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2" w:id="62"/>
      <w:r>
        <w:rPr>
          <w:rFonts w:eastAsia="等线" w:ascii="Arial" w:cs="Arial" w:hAnsi="Arial"/>
          <w:b w:val="true"/>
          <w:sz w:val="32"/>
        </w:rPr>
        <w:t>10.4 Inventory</w:t>
      </w:r>
      <w:bookmarkEnd w:id="62"/>
    </w:p>
    <w:p>
      <w:pPr>
        <w:numPr>
          <w:numId w:val="138"/>
        </w:numPr>
        <w:spacing w:before="120" w:after="120" w:line="288" w:lineRule="auto"/>
        <w:ind w:left="0"/>
        <w:jc w:val="left"/>
      </w:pPr>
      <w:r>
        <w:rPr>
          <w:rFonts w:eastAsia="等线" w:ascii="Arial" w:cs="Arial" w:hAnsi="Arial"/>
          <w:sz w:val="22"/>
        </w:rPr>
        <w:t>Confirm acceptable SAP ↔ MAIA inventory sync frequency.</w:t>
      </w:r>
    </w:p>
    <w:p>
      <w:pPr>
        <w:numPr>
          <w:numId w:val="139"/>
        </w:numPr>
        <w:spacing w:before="120" w:after="120" w:line="288" w:lineRule="auto"/>
        <w:ind w:left="0"/>
        <w:jc w:val="left"/>
      </w:pPr>
      <w:r>
        <w:rPr>
          <w:rFonts w:eastAsia="等线" w:ascii="Arial" w:cs="Arial" w:hAnsi="Arial"/>
          <w:sz w:val="22"/>
        </w:rPr>
        <w:t>Confirm definitions for:</w:t>
      </w:r>
    </w:p>
    <w:p>
      <w:pPr>
        <w:numPr>
          <w:numId w:val="140"/>
        </w:numPr>
        <w:spacing w:before="120" w:after="120" w:line="288" w:lineRule="auto"/>
        <w:ind w:left="0"/>
        <w:jc w:val="left"/>
      </w:pPr>
      <w:r>
        <w:rPr>
          <w:rFonts w:eastAsia="等线" w:ascii="Arial" w:cs="Arial" w:hAnsi="Arial"/>
          <w:sz w:val="22"/>
        </w:rPr>
        <w:t>actual quantity;</w:t>
      </w:r>
    </w:p>
    <w:p>
      <w:pPr>
        <w:numPr>
          <w:numId w:val="141"/>
        </w:numPr>
        <w:spacing w:before="120" w:after="120" w:line="288" w:lineRule="auto"/>
        <w:ind w:left="0"/>
        <w:jc w:val="left"/>
      </w:pPr>
      <w:r>
        <w:rPr>
          <w:rFonts w:eastAsia="等线" w:ascii="Arial" w:cs="Arial" w:hAnsi="Arial"/>
          <w:sz w:val="22"/>
        </w:rPr>
        <w:t>available quantity;</w:t>
      </w:r>
    </w:p>
    <w:p>
      <w:pPr>
        <w:numPr>
          <w:numId w:val="142"/>
        </w:numPr>
        <w:spacing w:before="120" w:after="120" w:line="288" w:lineRule="auto"/>
        <w:ind w:left="0"/>
        <w:jc w:val="left"/>
      </w:pPr>
      <w:r>
        <w:rPr>
          <w:rFonts w:eastAsia="等线" w:ascii="Arial" w:cs="Arial" w:hAnsi="Arial"/>
          <w:sz w:val="22"/>
        </w:rPr>
        <w:t>reserved quantity;</w:t>
      </w:r>
    </w:p>
    <w:p>
      <w:pPr>
        <w:numPr>
          <w:numId w:val="143"/>
        </w:numPr>
        <w:spacing w:before="120" w:after="120" w:line="288" w:lineRule="auto"/>
        <w:ind w:left="0"/>
        <w:jc w:val="left"/>
      </w:pPr>
      <w:r>
        <w:rPr>
          <w:rFonts w:eastAsia="等线" w:ascii="Arial" w:cs="Arial" w:hAnsi="Arial"/>
          <w:sz w:val="22"/>
        </w:rPr>
        <w:t>producible quantity.</w:t>
      </w:r>
    </w:p>
    <w:p>
      <w:pPr>
        <w:numPr>
          <w:numId w:val="144"/>
        </w:numPr>
        <w:spacing w:before="120" w:after="120" w:line="288" w:lineRule="auto"/>
        <w:ind w:left="0"/>
        <w:jc w:val="left"/>
      </w:pPr>
      <w:r>
        <w:rPr>
          <w:rFonts w:eastAsia="等线" w:ascii="Arial" w:cs="Arial" w:hAnsi="Arial"/>
          <w:sz w:val="22"/>
        </w:rPr>
        <w:t>Confirm slow-moving stock rule by category or days without movement.</w:t>
      </w:r>
    </w:p>
    <w:p>
      <w:pPr>
        <w:numPr>
          <w:numId w:val="145"/>
        </w:numPr>
        <w:spacing w:before="120" w:after="120" w:line="288" w:lineRule="auto"/>
        <w:ind w:left="0"/>
        <w:jc w:val="left"/>
      </w:pPr>
      <w:r>
        <w:rPr>
          <w:rFonts w:eastAsia="等线" w:ascii="Arial" w:cs="Arial" w:hAnsi="Arial"/>
          <w:sz w:val="22"/>
        </w:rPr>
        <w:t>Confirm stock aging report expectations.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3" w:id="63"/>
      <w:r>
        <w:rPr>
          <w:rFonts w:eastAsia="等线" w:ascii="Arial" w:cs="Arial" w:hAnsi="Arial"/>
          <w:b w:val="true"/>
          <w:sz w:val="32"/>
        </w:rPr>
        <w:t>10.5 Payments</w:t>
      </w:r>
      <w:bookmarkEnd w:id="63"/>
    </w:p>
    <w:p>
      <w:pPr>
        <w:numPr>
          <w:numId w:val="146"/>
        </w:numPr>
        <w:spacing w:before="120" w:after="120" w:line="288" w:lineRule="auto"/>
        <w:ind w:left="0"/>
        <w:jc w:val="left"/>
      </w:pPr>
      <w:r>
        <w:rPr>
          <w:rFonts w:eastAsia="等线" w:ascii="Arial" w:cs="Arial" w:hAnsi="Arial"/>
          <w:sz w:val="22"/>
        </w:rPr>
        <w:t>Confirm that payment receipt / payment voucher creation is user-instructed.</w:t>
      </w:r>
    </w:p>
    <w:p>
      <w:pPr>
        <w:numPr>
          <w:numId w:val="147"/>
        </w:numPr>
        <w:spacing w:before="120" w:after="120" w:line="288" w:lineRule="auto"/>
        <w:ind w:left="0"/>
        <w:jc w:val="left"/>
      </w:pPr>
      <w:r>
        <w:rPr>
          <w:rFonts w:eastAsia="等线" w:ascii="Arial" w:cs="Arial" w:hAnsi="Arial"/>
          <w:sz w:val="22"/>
        </w:rPr>
        <w:t>Confirm that attachment should be attached to the draft payment entry.</w:t>
      </w:r>
    </w:p>
    <w:p>
      <w:pPr>
        <w:numPr>
          <w:numId w:val="148"/>
        </w:numPr>
        <w:spacing w:before="120" w:after="120" w:line="288" w:lineRule="auto"/>
        <w:ind w:left="0"/>
        <w:jc w:val="left"/>
      </w:pPr>
      <w:r>
        <w:rPr>
          <w:rFonts w:eastAsia="等线" w:ascii="Arial" w:cs="Arial" w:hAnsi="Arial"/>
          <w:sz w:val="22"/>
        </w:rPr>
        <w:t>Confirm that reconciliation and allocation to invoices remain manual user-controlled actions.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4" w:id="64"/>
      <w:r>
        <w:rPr>
          <w:rFonts w:eastAsia="等线" w:ascii="Arial" w:cs="Arial" w:hAnsi="Arial"/>
          <w:b w:val="true"/>
          <w:sz w:val="32"/>
        </w:rPr>
        <w:t>10.6 Permissions</w:t>
      </w:r>
      <w:bookmarkEnd w:id="64"/>
    </w:p>
    <w:p>
      <w:pPr>
        <w:numPr>
          <w:numId w:val="149"/>
        </w:numPr>
        <w:spacing w:before="120" w:after="120" w:line="288" w:lineRule="auto"/>
        <w:ind w:left="0"/>
        <w:jc w:val="left"/>
      </w:pPr>
      <w:r>
        <w:rPr>
          <w:rFonts w:eastAsia="等线" w:ascii="Arial" w:cs="Arial" w:hAnsi="Arial"/>
          <w:sz w:val="22"/>
        </w:rPr>
        <w:t>Confirm which roles can:</w:t>
      </w:r>
    </w:p>
    <w:p>
      <w:pPr>
        <w:numPr>
          <w:numId w:val="150"/>
        </w:numPr>
        <w:spacing w:before="120" w:after="120" w:line="288" w:lineRule="auto"/>
        <w:ind w:left="0"/>
        <w:jc w:val="left"/>
      </w:pPr>
      <w:r>
        <w:rPr>
          <w:rFonts w:eastAsia="等线" w:ascii="Arial" w:cs="Arial" w:hAnsi="Arial"/>
          <w:sz w:val="22"/>
        </w:rPr>
        <w:t>create quotations;</w:t>
      </w:r>
    </w:p>
    <w:p>
      <w:pPr>
        <w:numPr>
          <w:numId w:val="151"/>
        </w:numPr>
        <w:spacing w:before="120" w:after="120" w:line="288" w:lineRule="auto"/>
        <w:ind w:left="0"/>
        <w:jc w:val="left"/>
      </w:pPr>
      <w:r>
        <w:rPr>
          <w:rFonts w:eastAsia="等线" w:ascii="Arial" w:cs="Arial" w:hAnsi="Arial"/>
          <w:sz w:val="22"/>
        </w:rPr>
        <w:t>create sales orders;</w:t>
      </w:r>
    </w:p>
    <w:p>
      <w:pPr>
        <w:numPr>
          <w:numId w:val="152"/>
        </w:numPr>
        <w:spacing w:before="120" w:after="120" w:line="288" w:lineRule="auto"/>
        <w:ind w:left="0"/>
        <w:jc w:val="left"/>
      </w:pPr>
      <w:r>
        <w:rPr>
          <w:rFonts w:eastAsia="等线" w:ascii="Arial" w:cs="Arial" w:hAnsi="Arial"/>
          <w:sz w:val="22"/>
        </w:rPr>
        <w:t>create delivery notes;</w:t>
      </w:r>
    </w:p>
    <w:p>
      <w:pPr>
        <w:numPr>
          <w:numId w:val="153"/>
        </w:numPr>
        <w:spacing w:before="120" w:after="120" w:line="288" w:lineRule="auto"/>
        <w:ind w:left="0"/>
        <w:jc w:val="left"/>
      </w:pPr>
      <w:r>
        <w:rPr>
          <w:rFonts w:eastAsia="等线" w:ascii="Arial" w:cs="Arial" w:hAnsi="Arial"/>
          <w:sz w:val="22"/>
        </w:rPr>
        <w:t>generate SOA links;</w:t>
      </w:r>
    </w:p>
    <w:p>
      <w:pPr>
        <w:numPr>
          <w:numId w:val="154"/>
        </w:numPr>
        <w:spacing w:before="120" w:after="120" w:line="288" w:lineRule="auto"/>
        <w:ind w:left="0"/>
        <w:jc w:val="left"/>
      </w:pPr>
      <w:r>
        <w:rPr>
          <w:rFonts w:eastAsia="等线" w:ascii="Arial" w:cs="Arial" w:hAnsi="Arial"/>
          <w:sz w:val="22"/>
        </w:rPr>
        <w:t>revoke SOA links;</w:t>
      </w:r>
    </w:p>
    <w:p>
      <w:pPr>
        <w:numPr>
          <w:numId w:val="155"/>
        </w:numPr>
        <w:spacing w:before="120" w:after="120" w:line="288" w:lineRule="auto"/>
        <w:ind w:left="0"/>
        <w:jc w:val="left"/>
      </w:pPr>
      <w:r>
        <w:rPr>
          <w:rFonts w:eastAsia="等线" w:ascii="Arial" w:cs="Arial" w:hAnsi="Arial"/>
          <w:sz w:val="22"/>
        </w:rPr>
        <w:t>retrieve invoices;</w:t>
      </w:r>
    </w:p>
    <w:p>
      <w:pPr>
        <w:numPr>
          <w:numId w:val="156"/>
        </w:numPr>
        <w:spacing w:before="120" w:after="120" w:line="288" w:lineRule="auto"/>
        <w:ind w:left="0"/>
        <w:jc w:val="left"/>
      </w:pPr>
      <w:r>
        <w:rPr>
          <w:rFonts w:eastAsia="等线" w:ascii="Arial" w:cs="Arial" w:hAnsi="Arial"/>
          <w:sz w:val="22"/>
        </w:rPr>
        <w:t>upload payment proof;</w:t>
      </w:r>
    </w:p>
    <w:p>
      <w:pPr>
        <w:numPr>
          <w:numId w:val="157"/>
        </w:numPr>
        <w:spacing w:before="120" w:after="120" w:line="288" w:lineRule="auto"/>
        <w:ind w:left="0"/>
        <w:jc w:val="left"/>
      </w:pPr>
      <w:r>
        <w:rPr>
          <w:rFonts w:eastAsia="等线" w:ascii="Arial" w:cs="Arial" w:hAnsi="Arial"/>
          <w:sz w:val="22"/>
        </w:rPr>
        <w:t>create payment entries;</w:t>
      </w:r>
    </w:p>
    <w:p>
      <w:pPr>
        <w:numPr>
          <w:numId w:val="158"/>
        </w:numPr>
        <w:spacing w:before="120" w:after="120" w:line="288" w:lineRule="auto"/>
        <w:ind w:left="0"/>
        <w:jc w:val="left"/>
      </w:pPr>
      <w:r>
        <w:rPr>
          <w:rFonts w:eastAsia="等线" w:ascii="Arial" w:cs="Arial" w:hAnsi="Arial"/>
          <w:sz w:val="22"/>
        </w:rPr>
        <w:t>approve credit / workflow tasks.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5" w:id="65"/>
      <w:r>
        <w:rPr>
          <w:rFonts w:eastAsia="等线" w:ascii="Arial" w:cs="Arial" w:hAnsi="Arial"/>
          <w:b w:val="true"/>
          <w:sz w:val="32"/>
        </w:rPr>
        <w:t>10.7 Vendor Customization Boundary</w:t>
      </w:r>
      <w:bookmarkEnd w:id="65"/>
    </w:p>
    <w:p>
      <w:pPr>
        <w:numPr>
          <w:numId w:val="159"/>
        </w:numPr>
        <w:spacing w:before="120" w:after="120" w:line="288" w:lineRule="auto"/>
        <w:ind w:left="0"/>
        <w:jc w:val="left"/>
      </w:pPr>
      <w:r>
        <w:rPr>
          <w:rFonts w:eastAsia="等线" w:ascii="Arial" w:cs="Arial" w:hAnsi="Arial"/>
          <w:sz w:val="22"/>
        </w:rPr>
        <w:t>Confirm that vendor custom UDF / UDH development is not base scope.</w:t>
      </w:r>
    </w:p>
    <w:p>
      <w:pPr>
        <w:numPr>
          <w:numId w:val="160"/>
        </w:numPr>
        <w:spacing w:before="120" w:after="120" w:line="288" w:lineRule="auto"/>
        <w:ind w:left="0"/>
        <w:jc w:val="left"/>
      </w:pPr>
      <w:r>
        <w:rPr>
          <w:rFonts w:eastAsia="等线" w:ascii="Arial" w:cs="Arial" w:hAnsi="Arial"/>
          <w:sz w:val="22"/>
        </w:rPr>
        <w:t>Confirm that if custom vendor-side UDF / UDH becomes a blocker, it will be raised and separately scoped.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6" w:id="66"/>
      <w:r>
        <w:rPr>
          <w:rFonts w:eastAsia="等线" w:ascii="Arial" w:cs="Arial" w:hAnsi="Arial"/>
          <w:color w:val="3370ff"/>
          <w:sz w:val="36"/>
        </w:rPr>
        <w:t xml:space="preserve">11. </w:t>
      </w:r>
      <w:r>
        <w:rPr>
          <w:rFonts w:eastAsia="等线" w:ascii="Arial" w:cs="Arial" w:hAnsi="Arial"/>
          <w:b w:val="true"/>
          <w:sz w:val="36"/>
        </w:rPr>
        <w:t>Build Team Instruction</w:t>
      </w:r>
      <w:bookmarkEnd w:id="66"/>
    </w:p>
    <w:p>
      <w:pPr>
        <w:spacing w:before="120" w:after="120" w:line="288" w:lineRule="auto"/>
        <w:ind w:left="0"/>
        <w:jc w:val="left"/>
      </w:pPr>
      <w:r>
        <w:rPr>
          <w:rFonts w:eastAsia="等线" w:ascii="Arial" w:cs="Arial" w:hAnsi="Arial"/>
          <w:sz w:val="22"/>
        </w:rPr>
        <w:t>The build team should treat the following as the current build line.</w:t>
      </w:r>
    </w:p>
    <w:p>
      <w:pPr>
        <w:pStyle w:val="2"/>
        <w:spacing w:before="320" w:after="120" w:line="288" w:lineRule="auto"/>
        <w:ind w:left="0"/>
        <w:jc w:val="left"/>
        <w:outlineLvl w:val="1"/>
      </w:pPr>
      <w:bookmarkStart w:name="heading_67" w:id="67"/>
      <w:r>
        <w:rPr>
          <w:rFonts w:eastAsia="等线" w:ascii="Arial" w:cs="Arial" w:hAnsi="Arial"/>
          <w:b w:val="true"/>
          <w:sz w:val="32"/>
        </w:rPr>
        <w:t>11.1 Build In Scope</w:t>
      </w:r>
      <w:bookmarkEnd w:id="67"/>
    </w:p>
    <w:p>
      <w:pPr>
        <w:numPr>
          <w:numId w:val="161"/>
        </w:numPr>
        <w:spacing w:before="120" w:after="120" w:line="288" w:lineRule="auto"/>
        <w:ind w:left="0"/>
        <w:jc w:val="left"/>
      </w:pPr>
      <w:r>
        <w:rPr>
          <w:rFonts w:eastAsia="等线" w:ascii="Arial" w:cs="Arial" w:hAnsi="Arial"/>
          <w:sz w:val="22"/>
        </w:rPr>
        <w:t>Multi-format order / quotation intake.</w:t>
      </w:r>
    </w:p>
    <w:p>
      <w:pPr>
        <w:numPr>
          <w:numId w:val="162"/>
        </w:numPr>
        <w:spacing w:before="120" w:after="120" w:line="288" w:lineRule="auto"/>
        <w:ind w:left="0"/>
        <w:jc w:val="left"/>
      </w:pPr>
      <w:r>
        <w:rPr>
          <w:rFonts w:eastAsia="等线" w:ascii="Arial" w:cs="Arial" w:hAnsi="Arial"/>
          <w:sz w:val="22"/>
        </w:rPr>
        <w:t>MAIA-drafted quotation with mandatory user review.</w:t>
      </w:r>
    </w:p>
    <w:p>
      <w:pPr>
        <w:numPr>
          <w:numId w:val="163"/>
        </w:numPr>
        <w:spacing w:before="120" w:after="120" w:line="288" w:lineRule="auto"/>
        <w:ind w:left="0"/>
        <w:jc w:val="left"/>
      </w:pPr>
      <w:r>
        <w:rPr>
          <w:rFonts w:eastAsia="等线" w:ascii="Arial" w:cs="Arial" w:hAnsi="Arial"/>
          <w:sz w:val="22"/>
        </w:rPr>
        <w:t>RAG-based item suggestion from enriched item master.</w:t>
      </w:r>
    </w:p>
    <w:p>
      <w:pPr>
        <w:numPr>
          <w:numId w:val="164"/>
        </w:numPr>
        <w:spacing w:before="120" w:after="120" w:line="288" w:lineRule="auto"/>
        <w:ind w:left="0"/>
        <w:jc w:val="left"/>
      </w:pPr>
      <w:r>
        <w:rPr>
          <w:rFonts w:eastAsia="等线" w:ascii="Arial" w:cs="Arial" w:hAnsi="Arial"/>
          <w:sz w:val="22"/>
        </w:rPr>
        <w:t>SAP-style Blanket Order / Agreement support.</w:t>
      </w:r>
    </w:p>
    <w:p>
      <w:pPr>
        <w:numPr>
          <w:numId w:val="165"/>
        </w:numPr>
        <w:spacing w:before="120" w:after="120" w:line="288" w:lineRule="auto"/>
        <w:ind w:left="0"/>
        <w:jc w:val="left"/>
      </w:pPr>
      <w:r>
        <w:rPr>
          <w:rFonts w:eastAsia="等线" w:ascii="Arial" w:cs="Arial" w:hAnsi="Arial"/>
          <w:sz w:val="22"/>
        </w:rPr>
        <w:t>Credit / approval workflow behaviour in MAIA.</w:t>
      </w:r>
    </w:p>
    <w:p>
      <w:pPr>
        <w:numPr>
          <w:numId w:val="166"/>
        </w:numPr>
        <w:spacing w:before="120" w:after="120" w:line="288" w:lineRule="auto"/>
        <w:ind w:left="0"/>
        <w:jc w:val="left"/>
      </w:pPr>
      <w:r>
        <w:rPr>
          <w:rFonts w:eastAsia="等线" w:ascii="Arial" w:cs="Arial" w:hAnsi="Arial"/>
          <w:sz w:val="22"/>
        </w:rPr>
        <w:t>Proof-of-payment upload and user-instructed payment-entry decision.</w:t>
      </w:r>
    </w:p>
    <w:p>
      <w:pPr>
        <w:numPr>
          <w:numId w:val="167"/>
        </w:numPr>
        <w:spacing w:before="120" w:after="120" w:line="288" w:lineRule="auto"/>
        <w:ind w:left="0"/>
        <w:jc w:val="left"/>
      </w:pPr>
      <w:r>
        <w:rPr>
          <w:rFonts w:eastAsia="等线" w:ascii="Arial" w:cs="Arial" w:hAnsi="Arial"/>
          <w:sz w:val="22"/>
        </w:rPr>
        <w:t>Payment receipt / payment voucher draft creation.</w:t>
      </w:r>
    </w:p>
    <w:p>
      <w:pPr>
        <w:numPr>
          <w:numId w:val="168"/>
        </w:numPr>
        <w:spacing w:before="120" w:after="120" w:line="288" w:lineRule="auto"/>
        <w:ind w:left="0"/>
        <w:jc w:val="left"/>
      </w:pPr>
      <w:r>
        <w:rPr>
          <w:rFonts w:eastAsia="等线" w:ascii="Arial" w:cs="Arial" w:hAnsi="Arial"/>
          <w:sz w:val="22"/>
        </w:rPr>
        <w:t>Attachment capture on draft payment entry.</w:t>
      </w:r>
    </w:p>
    <w:p>
      <w:pPr>
        <w:numPr>
          <w:numId w:val="169"/>
        </w:numPr>
        <w:spacing w:before="120" w:after="120" w:line="288" w:lineRule="auto"/>
        <w:ind w:left="0"/>
        <w:jc w:val="left"/>
      </w:pPr>
      <w:r>
        <w:rPr>
          <w:rFonts w:eastAsia="等线" w:ascii="Arial" w:cs="Arial" w:hAnsi="Arial"/>
          <w:sz w:val="22"/>
        </w:rPr>
        <w:t>Invoice and document retrieval.</w:t>
      </w:r>
    </w:p>
    <w:p>
      <w:pPr>
        <w:numPr>
          <w:numId w:val="170"/>
        </w:numPr>
        <w:spacing w:before="120" w:after="120" w:line="288" w:lineRule="auto"/>
        <w:ind w:left="0"/>
        <w:jc w:val="left"/>
      </w:pPr>
      <w:r>
        <w:rPr>
          <w:rFonts w:eastAsia="等线" w:ascii="Arial" w:cs="Arial" w:hAnsi="Arial"/>
          <w:sz w:val="22"/>
        </w:rPr>
        <w:t>Password-protected SOA customer portal.</w:t>
      </w:r>
    </w:p>
    <w:p>
      <w:pPr>
        <w:numPr>
          <w:numId w:val="171"/>
        </w:numPr>
        <w:spacing w:before="120" w:after="120" w:line="288" w:lineRule="auto"/>
        <w:ind w:left="0"/>
        <w:jc w:val="left"/>
      </w:pPr>
      <w:r>
        <w:rPr>
          <w:rFonts w:eastAsia="等线" w:ascii="Arial" w:cs="Arial" w:hAnsi="Arial"/>
          <w:sz w:val="22"/>
        </w:rPr>
        <w:t>Client-format document generation.</w:t>
      </w:r>
    </w:p>
    <w:p>
      <w:pPr>
        <w:numPr>
          <w:numId w:val="172"/>
        </w:numPr>
        <w:spacing w:before="120" w:after="120" w:line="288" w:lineRule="auto"/>
        <w:ind w:left="0"/>
        <w:jc w:val="left"/>
      </w:pPr>
      <w:r>
        <w:rPr>
          <w:rFonts w:eastAsia="等线" w:ascii="Arial" w:cs="Arial" w:hAnsi="Arial"/>
          <w:sz w:val="22"/>
        </w:rPr>
        <w:t>Inventory visual cue on quotation / SO / DN item tables.</w:t>
      </w:r>
    </w:p>
    <w:p>
      <w:pPr>
        <w:numPr>
          <w:numId w:val="173"/>
        </w:numPr>
        <w:spacing w:before="120" w:after="120" w:line="288" w:lineRule="auto"/>
        <w:ind w:left="0"/>
        <w:jc w:val="left"/>
      </w:pPr>
      <w:r>
        <w:rPr>
          <w:rFonts w:eastAsia="等线" w:ascii="Arial" w:cs="Arial" w:hAnsi="Arial"/>
          <w:sz w:val="22"/>
        </w:rPr>
        <w:t>Actual / available / reserved quantity display.</w:t>
      </w:r>
    </w:p>
    <w:p>
      <w:pPr>
        <w:numPr>
          <w:numId w:val="174"/>
        </w:numPr>
        <w:spacing w:before="120" w:after="120" w:line="288" w:lineRule="auto"/>
        <w:ind w:left="0"/>
        <w:jc w:val="left"/>
      </w:pPr>
      <w:r>
        <w:rPr>
          <w:rFonts w:eastAsia="等线" w:ascii="Arial" w:cs="Arial" w:hAnsi="Arial"/>
          <w:sz w:val="22"/>
        </w:rPr>
        <w:t>Producible quantity for MAIA-configured BOM / Product Bundle items.</w:t>
      </w:r>
    </w:p>
    <w:p>
      <w:pPr>
        <w:numPr>
          <w:numId w:val="175"/>
        </w:numPr>
        <w:spacing w:before="120" w:after="120" w:line="288" w:lineRule="auto"/>
        <w:ind w:left="0"/>
        <w:jc w:val="left"/>
      </w:pPr>
      <w:r>
        <w:rPr>
          <w:rFonts w:eastAsia="等线" w:ascii="Arial" w:cs="Arial" w:hAnsi="Arial"/>
          <w:sz w:val="22"/>
        </w:rPr>
        <w:t>Order listing with fulfillment percentage and order age.</w:t>
      </w:r>
    </w:p>
    <w:p>
      <w:pPr>
        <w:numPr>
          <w:numId w:val="176"/>
        </w:numPr>
        <w:spacing w:before="120" w:after="120" w:line="288" w:lineRule="auto"/>
        <w:ind w:left="0"/>
        <w:jc w:val="left"/>
      </w:pPr>
      <w:r>
        <w:rPr>
          <w:rFonts w:eastAsia="等线" w:ascii="Arial" w:cs="Arial" w:hAnsi="Arial"/>
          <w:sz w:val="22"/>
        </w:rPr>
        <w:t>MAIA-created document writeback to SAP.</w:t>
      </w:r>
    </w:p>
    <w:p>
      <w:pPr>
        <w:numPr>
          <w:numId w:val="177"/>
        </w:numPr>
        <w:spacing w:before="120" w:after="120" w:line="288" w:lineRule="auto"/>
        <w:ind w:left="0"/>
        <w:jc w:val="left"/>
      </w:pPr>
      <w:r>
        <w:rPr>
          <w:rFonts w:eastAsia="等线" w:ascii="Arial" w:cs="Arial" w:hAnsi="Arial"/>
          <w:sz w:val="22"/>
        </w:rPr>
        <w:t>Slow-moving stock notifications, reports, stock aging reports, stock movement reports, and warehouse dashboard.</w:t>
      </w:r>
    </w:p>
    <w:p>
      <w:pPr>
        <w:pStyle w:val="2"/>
        <w:spacing w:before="320" w:after="120" w:line="288" w:lineRule="auto"/>
        <w:ind w:left="0"/>
        <w:jc w:val="left"/>
        <w:outlineLvl w:val="1"/>
      </w:pPr>
      <w:bookmarkStart w:name="heading_68" w:id="68"/>
      <w:r>
        <w:rPr>
          <w:rFonts w:eastAsia="等线" w:ascii="Arial" w:cs="Arial" w:hAnsi="Arial"/>
          <w:b w:val="true"/>
          <w:sz w:val="32"/>
        </w:rPr>
        <w:t>11.2 Do Not Build Unless Separately Scoped</w:t>
      </w:r>
      <w:bookmarkEnd w:id="68"/>
    </w:p>
    <w:p>
      <w:pPr>
        <w:numPr>
          <w:numId w:val="178"/>
        </w:numPr>
        <w:spacing w:before="120" w:after="120" w:line="288" w:lineRule="auto"/>
        <w:ind w:left="0"/>
        <w:jc w:val="left"/>
      </w:pPr>
      <w:r>
        <w:rPr>
          <w:rFonts w:eastAsia="等线" w:ascii="Arial" w:cs="Arial" w:hAnsi="Arial"/>
          <w:sz w:val="22"/>
        </w:rPr>
        <w:t>CPR / CPRN / pre-confirmation stock reservation.</w:t>
      </w:r>
    </w:p>
    <w:p>
      <w:pPr>
        <w:numPr>
          <w:numId w:val="179"/>
        </w:numPr>
        <w:spacing w:before="120" w:after="120" w:line="288" w:lineRule="auto"/>
        <w:ind w:left="0"/>
        <w:jc w:val="left"/>
      </w:pPr>
      <w:r>
        <w:rPr>
          <w:rFonts w:eastAsia="等线" w:ascii="Arial" w:cs="Arial" w:hAnsi="Arial"/>
          <w:sz w:val="22"/>
        </w:rPr>
        <w:t>GST’s custom SAP stock transformation workflow.</w:t>
      </w:r>
    </w:p>
    <w:p>
      <w:pPr>
        <w:numPr>
          <w:numId w:val="180"/>
        </w:numPr>
        <w:spacing w:before="120" w:after="120" w:line="288" w:lineRule="auto"/>
        <w:ind w:left="0"/>
        <w:jc w:val="left"/>
      </w:pPr>
      <w:r>
        <w:rPr>
          <w:rFonts w:eastAsia="等线" w:ascii="Arial" w:cs="Arial" w:hAnsi="Arial"/>
          <w:sz w:val="22"/>
        </w:rPr>
        <w:t>SAP item master / UOM reconfiguration.</w:t>
      </w:r>
    </w:p>
    <w:p>
      <w:pPr>
        <w:numPr>
          <w:numId w:val="181"/>
        </w:numPr>
        <w:spacing w:before="120" w:after="120" w:line="288" w:lineRule="auto"/>
        <w:ind w:left="0"/>
        <w:jc w:val="left"/>
      </w:pPr>
      <w:r>
        <w:rPr>
          <w:rFonts w:eastAsia="等线" w:ascii="Arial" w:cs="Arial" w:hAnsi="Arial"/>
          <w:sz w:val="22"/>
        </w:rPr>
        <w:t>Batch-number / expiry-date alerts.</w:t>
      </w:r>
    </w:p>
    <w:p>
      <w:pPr>
        <w:numPr>
          <w:numId w:val="182"/>
        </w:numPr>
        <w:spacing w:before="120" w:after="120" w:line="288" w:lineRule="auto"/>
        <w:ind w:left="0"/>
        <w:jc w:val="left"/>
      </w:pPr>
      <w:r>
        <w:rPr>
          <w:rFonts w:eastAsia="等线" w:ascii="Arial" w:cs="Arial" w:hAnsi="Arial"/>
          <w:sz w:val="22"/>
        </w:rPr>
        <w:t>Excel planning / purchasing calculator.</w:t>
      </w:r>
    </w:p>
    <w:p>
      <w:pPr>
        <w:numPr>
          <w:numId w:val="183"/>
        </w:numPr>
        <w:spacing w:before="120" w:after="120" w:line="288" w:lineRule="auto"/>
        <w:ind w:left="0"/>
        <w:jc w:val="left"/>
      </w:pPr>
      <w:r>
        <w:rPr>
          <w:rFonts w:eastAsia="等线" w:ascii="Arial" w:cs="Arial" w:hAnsi="Arial"/>
          <w:sz w:val="22"/>
        </w:rPr>
        <w:t>Vendor custom UDF / UDH development inside third-party software.</w:t>
      </w:r>
    </w:p>
    <w:p>
      <w:pPr>
        <w:numPr>
          <w:numId w:val="184"/>
        </w:numPr>
        <w:spacing w:before="120" w:after="120" w:line="288" w:lineRule="auto"/>
        <w:ind w:left="0"/>
        <w:jc w:val="left"/>
      </w:pPr>
      <w:r>
        <w:rPr>
          <w:rFonts w:eastAsia="等线" w:ascii="Arial" w:cs="Arial" w:hAnsi="Arial"/>
          <w:sz w:val="22"/>
        </w:rPr>
        <w:t>Automatic payment reconciliation / invoice allocation.</w:t>
      </w:r>
    </w:p>
    <w:p>
      <w:pPr>
        <w:pStyle w:val="2"/>
        <w:spacing w:before="320" w:after="120" w:line="288" w:lineRule="auto"/>
        <w:ind w:left="0"/>
        <w:jc w:val="left"/>
        <w:outlineLvl w:val="1"/>
      </w:pPr>
      <w:bookmarkStart w:name="heading_69" w:id="69"/>
      <w:r>
        <w:rPr>
          <w:rFonts w:eastAsia="等线" w:ascii="Arial" w:cs="Arial" w:hAnsi="Arial"/>
          <w:b w:val="true"/>
          <w:sz w:val="32"/>
        </w:rPr>
        <w:t>11.3 High-Risk Boundary: Inventory</w:t>
      </w:r>
      <w:bookmarkEnd w:id="69"/>
    </w:p>
    <w:p>
      <w:pPr>
        <w:spacing w:before="120" w:after="120" w:line="288" w:lineRule="auto"/>
        <w:ind w:left="0"/>
        <w:jc w:val="left"/>
      </w:pPr>
      <w:r>
        <w:rPr>
          <w:rFonts w:eastAsia="等线" w:ascii="Arial" w:cs="Arial" w:hAnsi="Arial"/>
          <w:sz w:val="22"/>
        </w:rPr>
        <w:t>The dangerous ambiguity is inventory.</w:t>
      </w:r>
    </w:p>
    <w:p>
      <w:pPr>
        <w:spacing w:before="120" w:after="120" w:line="288" w:lineRule="auto"/>
        <w:ind w:left="0"/>
        <w:jc w:val="left"/>
      </w:pPr>
      <w:r>
        <w:rPr>
          <w:rFonts w:eastAsia="等线" w:ascii="Arial" w:cs="Arial" w:hAnsi="Arial"/>
          <w:sz w:val="22"/>
        </w:rPr>
        <w:t>MAIA can show:</w:t>
      </w:r>
    </w:p>
    <w:p>
      <w:pPr>
        <w:numPr>
          <w:numId w:val="185"/>
        </w:numPr>
        <w:spacing w:before="120" w:after="120" w:line="288" w:lineRule="auto"/>
        <w:ind w:left="0"/>
        <w:jc w:val="left"/>
      </w:pPr>
      <w:r>
        <w:rPr>
          <w:rFonts w:eastAsia="等线" w:ascii="Arial" w:cs="Arial" w:hAnsi="Arial"/>
          <w:sz w:val="22"/>
        </w:rPr>
        <w:t>actual quantity;</w:t>
      </w:r>
    </w:p>
    <w:p>
      <w:pPr>
        <w:numPr>
          <w:numId w:val="186"/>
        </w:numPr>
        <w:spacing w:before="120" w:after="120" w:line="288" w:lineRule="auto"/>
        <w:ind w:left="0"/>
        <w:jc w:val="left"/>
      </w:pPr>
      <w:r>
        <w:rPr>
          <w:rFonts w:eastAsia="等线" w:ascii="Arial" w:cs="Arial" w:hAnsi="Arial"/>
          <w:sz w:val="22"/>
        </w:rPr>
        <w:t>available quantity;</w:t>
      </w:r>
    </w:p>
    <w:p>
      <w:pPr>
        <w:numPr>
          <w:numId w:val="187"/>
        </w:numPr>
        <w:spacing w:before="120" w:after="120" w:line="288" w:lineRule="auto"/>
        <w:ind w:left="0"/>
        <w:jc w:val="left"/>
      </w:pPr>
      <w:r>
        <w:rPr>
          <w:rFonts w:eastAsia="等线" w:ascii="Arial" w:cs="Arial" w:hAnsi="Arial"/>
          <w:sz w:val="22"/>
        </w:rPr>
        <w:t>reserved quantity;</w:t>
      </w:r>
    </w:p>
    <w:p>
      <w:pPr>
        <w:numPr>
          <w:numId w:val="188"/>
        </w:numPr>
        <w:spacing w:before="120" w:after="120" w:line="288" w:lineRule="auto"/>
        <w:ind w:left="0"/>
        <w:jc w:val="left"/>
      </w:pPr>
      <w:r>
        <w:rPr>
          <w:rFonts w:eastAsia="等线" w:ascii="Arial" w:cs="Arial" w:hAnsi="Arial"/>
          <w:sz w:val="22"/>
        </w:rPr>
        <w:t>producible quantity for configured MAIA BOM / Product Bundle items;</w:t>
      </w:r>
    </w:p>
    <w:p>
      <w:pPr>
        <w:numPr>
          <w:numId w:val="189"/>
        </w:numPr>
        <w:spacing w:before="120" w:after="120" w:line="288" w:lineRule="auto"/>
        <w:ind w:left="0"/>
        <w:jc w:val="left"/>
      </w:pPr>
      <w:r>
        <w:rPr>
          <w:rFonts w:eastAsia="等线" w:ascii="Arial" w:cs="Arial" w:hAnsi="Arial"/>
          <w:sz w:val="22"/>
        </w:rPr>
        <w:t>synced inventory from SAP.</w:t>
      </w:r>
    </w:p>
    <w:p>
      <w:pPr>
        <w:spacing w:before="120" w:after="120" w:line="288" w:lineRule="auto"/>
        <w:ind w:left="0"/>
        <w:jc w:val="left"/>
      </w:pPr>
      <w:r>
        <w:rPr>
          <w:rFonts w:eastAsia="等线" w:ascii="Arial" w:cs="Arial" w:hAnsi="Arial"/>
          <w:sz w:val="22"/>
        </w:rPr>
        <w:t xml:space="preserve">MAIA does </w:t>
      </w:r>
      <w:r>
        <w:rPr>
          <w:rFonts w:eastAsia="等线" w:ascii="Arial" w:cs="Arial" w:hAnsi="Arial"/>
          <w:b w:val="true"/>
          <w:sz w:val="22"/>
        </w:rPr>
        <w:t>not</w:t>
      </w:r>
      <w:r>
        <w:rPr>
          <w:rFonts w:eastAsia="等线" w:ascii="Arial" w:cs="Arial" w:hAnsi="Arial"/>
          <w:sz w:val="22"/>
        </w:rPr>
        <w:t xml:space="preserve"> recreate GST’s SAP stock transformation engine.</w:t>
      </w:r>
    </w:p>
    <w:p>
      <w:pPr>
        <w:spacing w:before="120" w:after="120" w:line="288" w:lineRule="auto"/>
        <w:ind w:left="0"/>
        <w:jc w:val="left"/>
      </w:pPr>
      <w:r>
        <w:rPr>
          <w:rFonts w:eastAsia="等线" w:ascii="Arial" w:cs="Arial" w:hAnsi="Arial"/>
          <w:sz w:val="22"/>
        </w:rPr>
        <w:t>The product and delivery team must make this boundary explicit in demos, UAT scripts, and client confirmation materials.</w:t>
      </w:r>
    </w:p>
    <w:p>
      <w:pPr>
        <w:pStyle w:val="2"/>
        <w:spacing w:before="320" w:after="120" w:line="288" w:lineRule="auto"/>
        <w:ind w:left="0"/>
        <w:jc w:val="left"/>
        <w:outlineLvl w:val="1"/>
      </w:pPr>
      <w:bookmarkStart w:name="heading_70" w:id="70"/>
      <w:r>
        <w:rPr>
          <w:rFonts w:eastAsia="等线" w:ascii="Arial" w:cs="Arial" w:hAnsi="Arial"/>
          <w:b w:val="true"/>
          <w:sz w:val="32"/>
        </w:rPr>
        <w:t>11.4 High-Risk Boundary: SAP Vendor Customization</w:t>
      </w:r>
      <w:bookmarkEnd w:id="70"/>
    </w:p>
    <w:p>
      <w:pPr>
        <w:spacing w:before="120" w:after="120" w:line="288" w:lineRule="auto"/>
        <w:ind w:left="0"/>
        <w:jc w:val="left"/>
      </w:pPr>
      <w:r>
        <w:rPr>
          <w:rFonts w:eastAsia="等线" w:ascii="Arial" w:cs="Arial" w:hAnsi="Arial"/>
          <w:sz w:val="22"/>
        </w:rPr>
        <w:t>MAIA will integrate with SAP through the agreed path, but it will not develop or support custom UDF / UDH in vendor third-party software as part of base scope.</w:t>
      </w:r>
    </w:p>
    <w:p>
      <w:pPr>
        <w:spacing w:before="120" w:after="120" w:line="288" w:lineRule="auto"/>
        <w:ind w:left="0"/>
        <w:jc w:val="left"/>
      </w:pPr>
      <w:r>
        <w:rPr>
          <w:rFonts w:eastAsia="等线" w:ascii="Arial" w:cs="Arial" w:hAnsi="Arial"/>
          <w:sz w:val="22"/>
        </w:rPr>
        <w:t>If vendor-side UDF / UDH becomes a blocker:</w:t>
      </w:r>
    </w:p>
    <w:p>
      <w:pPr>
        <w:numPr>
          <w:numId w:val="190"/>
        </w:numPr>
        <w:spacing w:before="120" w:after="120" w:line="288" w:lineRule="auto"/>
        <w:ind w:left="0"/>
        <w:jc w:val="left"/>
      </w:pPr>
      <w:r>
        <w:rPr>
          <w:rFonts w:eastAsia="等线" w:ascii="Arial" w:cs="Arial" w:hAnsi="Arial"/>
          <w:sz w:val="22"/>
        </w:rPr>
        <w:t>identify exact blocked object / field / workflow;</w:t>
      </w:r>
    </w:p>
    <w:p>
      <w:pPr>
        <w:numPr>
          <w:numId w:val="191"/>
        </w:numPr>
        <w:spacing w:before="120" w:after="120" w:line="288" w:lineRule="auto"/>
        <w:ind w:left="0"/>
        <w:jc w:val="left"/>
      </w:pPr>
      <w:r>
        <w:rPr>
          <w:rFonts w:eastAsia="等线" w:ascii="Arial" w:cs="Arial" w:hAnsi="Arial"/>
          <w:sz w:val="22"/>
        </w:rPr>
        <w:t>document impact;</w:t>
      </w:r>
    </w:p>
    <w:p>
      <w:pPr>
        <w:numPr>
          <w:numId w:val="192"/>
        </w:numPr>
        <w:spacing w:before="120" w:after="120" w:line="288" w:lineRule="auto"/>
        <w:ind w:left="0"/>
        <w:jc w:val="left"/>
      </w:pPr>
      <w:r>
        <w:rPr>
          <w:rFonts w:eastAsia="等线" w:ascii="Arial" w:cs="Arial" w:hAnsi="Arial"/>
          <w:sz w:val="22"/>
        </w:rPr>
        <w:t>raise to delivery lead;</w:t>
      </w:r>
    </w:p>
    <w:p>
      <w:pPr>
        <w:numPr>
          <w:numId w:val="193"/>
        </w:numPr>
        <w:spacing w:before="120" w:after="120" w:line="288" w:lineRule="auto"/>
        <w:ind w:left="0"/>
        <w:jc w:val="left"/>
      </w:pPr>
      <w:r>
        <w:rPr>
          <w:rFonts w:eastAsia="等线" w:ascii="Arial" w:cs="Arial" w:hAnsi="Arial"/>
          <w:sz w:val="22"/>
        </w:rPr>
        <w:t>scope as separate customization.</w:t>
      </w:r>
    </w:p>
    <w:p>
      <w:pPr>
        <w:pStyle w:val="2"/>
        <w:spacing w:before="320" w:after="120" w:line="288" w:lineRule="auto"/>
        <w:ind w:left="0"/>
        <w:jc w:val="left"/>
        <w:outlineLvl w:val="1"/>
      </w:pPr>
      <w:bookmarkStart w:name="heading_71" w:id="71"/>
      <w:r>
        <w:rPr>
          <w:rFonts w:eastAsia="等线" w:ascii="Arial" w:cs="Arial" w:hAnsi="Arial"/>
          <w:b w:val="true"/>
          <w:sz w:val="32"/>
        </w:rPr>
        <w:t>11.5 High-Risk Boundary: Payment</w:t>
      </w:r>
      <w:bookmarkEnd w:id="71"/>
    </w:p>
    <w:p>
      <w:pPr>
        <w:spacing w:before="120" w:after="120" w:line="288" w:lineRule="auto"/>
        <w:ind w:left="0"/>
        <w:jc w:val="left"/>
      </w:pPr>
      <w:r>
        <w:rPr>
          <w:rFonts w:eastAsia="等线" w:ascii="Arial" w:cs="Arial" w:hAnsi="Arial"/>
          <w:sz w:val="22"/>
        </w:rPr>
        <w:t>MAIA will create draft payment entries based on user instruction and attach the uploaded proof.</w:t>
      </w:r>
    </w:p>
    <w:p>
      <w:pPr>
        <w:spacing w:before="120" w:after="120" w:line="288" w:lineRule="auto"/>
        <w:ind w:left="0"/>
        <w:jc w:val="left"/>
      </w:pPr>
      <w:r>
        <w:rPr>
          <w:rFonts w:eastAsia="等线" w:ascii="Arial" w:cs="Arial" w:hAnsi="Arial"/>
          <w:sz w:val="22"/>
        </w:rPr>
        <w:t xml:space="preserve">MAIA will </w:t>
      </w:r>
      <w:r>
        <w:rPr>
          <w:rFonts w:eastAsia="等线" w:ascii="Arial" w:cs="Arial" w:hAnsi="Arial"/>
          <w:b w:val="true"/>
          <w:sz w:val="22"/>
        </w:rPr>
        <w:t>not</w:t>
      </w:r>
      <w:r>
        <w:rPr>
          <w:rFonts w:eastAsia="等线" w:ascii="Arial" w:cs="Arial" w:hAnsi="Arial"/>
          <w:sz w:val="22"/>
        </w:rPr>
        <w:t xml:space="preserve"> automatically reconcile payments, allocate invoices, knock off invoices, or decide allocation rules in base scope. Those actions remain manually instructed by the user.</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72" w:id="72"/>
      <w:r>
        <w:rPr>
          <w:rFonts w:eastAsia="等线" w:ascii="Arial" w:cs="Arial" w:hAnsi="Arial"/>
          <w:color w:val="3370ff"/>
          <w:sz w:val="36"/>
        </w:rPr>
        <w:t xml:space="preserve">12. </w:t>
      </w:r>
      <w:r>
        <w:rPr>
          <w:rFonts w:eastAsia="等线" w:ascii="Arial" w:cs="Arial" w:hAnsi="Arial"/>
          <w:b w:val="true"/>
          <w:sz w:val="36"/>
        </w:rPr>
        <w:t>Final Scope Position</w:t>
      </w:r>
      <w:bookmarkEnd w:id="72"/>
    </w:p>
    <w:p>
      <w:pPr>
        <w:spacing w:before="120" w:after="120" w:line="288" w:lineRule="auto"/>
        <w:ind w:left="0"/>
        <w:jc w:val="left"/>
      </w:pPr>
      <w:r>
        <w:rPr>
          <w:rFonts w:eastAsia="等线" w:ascii="Arial" w:cs="Arial" w:hAnsi="Arial"/>
          <w:sz w:val="22"/>
        </w:rPr>
        <w:t>The final scope position is:</w:t>
      </w:r>
    </w:p>
    <w:p>
      <w:pPr>
        <w:spacing w:before="120" w:after="120" w:line="288" w:lineRule="auto"/>
        <w:ind w:left="0"/>
        <w:jc w:val="left"/>
      </w:pPr>
      <w:r>
        <w:rPr>
          <w:rFonts w:eastAsia="等线" w:ascii="Arial" w:cs="Arial" w:hAnsi="Arial"/>
          <w:b w:val="true"/>
          <w:sz w:val="22"/>
        </w:rPr>
        <w:t>GST Phase 1 is an SAP-integrated MAIA workflow layer for order intake, quotation drafting, item suggestion, Blanket Order / Agreement support, approval workflow, payment proof handling, user-instructed payment entry drafting, document retrieval, SOA portal access, document generation, inventory visibility, order aging, fulfillment tracking, and SAP document writeback.</w:t>
      </w:r>
    </w:p>
    <w:p>
      <w:pPr>
        <w:spacing w:before="120" w:after="120" w:line="288" w:lineRule="auto"/>
        <w:ind w:left="0"/>
        <w:jc w:val="left"/>
      </w:pPr>
      <w:r>
        <w:rPr>
          <w:rFonts w:eastAsia="等线" w:ascii="Arial" w:cs="Arial" w:hAnsi="Arial"/>
          <w:b w:val="true"/>
          <w:sz w:val="22"/>
        </w:rPr>
        <w:t>It is not a SAP replacement, not a stock transformation engine, not a CPRN reservation system, not a batch-expiry alerting system, not a purchasing planning calculator, not an automatic payment reconciliation engine, and not a vehicle for vendor third-party custom UDF / UDH development.</w:t>
      </w:r>
    </w:p>
    <w:p>
      <w:pPr>
        <w:spacing w:before="120" w:after="120" w:line="288" w:lineRule="auto"/>
        <w:ind w:left="0"/>
        <w:jc w:val="left"/>
      </w:pPr>
      <w:r>
        <w:rPr>
          <w:rFonts w:eastAsia="等线" w:ascii="Arial" w:cs="Arial" w:hAnsi="Arial"/>
          <w:sz w:val="22"/>
        </w:rPr>
        <w:t>The current build is sufficiently scoped for product and engineering to proceed on MAIA-side workflows. Remaining closure items are implementation inputs: document samples, Blanket Order / Agreement behaviour, SOA security settings, inventory sync cadence, slow stock rules, and permissions.</w:t>
      </w:r>
    </w:p>
    <w:sectPr>
      <w:footerReference w:type="default" r:id="rId3"/>
      <w:headerReference w:type="default" r:id="rId2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94929">
    <w:lvl>
      <w:start w:val="1"/>
      <w:numFmt w:val="decimal"/>
      <w:suff w:val="tab"/>
      <w:lvlText w:val="%1."/>
      <w:rPr>
        <w:color w:val="3370ff"/>
      </w:rPr>
    </w:lvl>
  </w:abstractNum>
  <w:abstractNum w:abstractNumId="394930">
    <w:lvl>
      <w:start w:val="2"/>
      <w:numFmt w:val="decimal"/>
      <w:suff w:val="tab"/>
      <w:lvlText w:val="%1."/>
      <w:rPr>
        <w:color w:val="3370ff"/>
      </w:rPr>
    </w:lvl>
  </w:abstractNum>
  <w:abstractNum w:abstractNumId="394931">
    <w:lvl>
      <w:start w:val="1"/>
      <w:numFmt w:val="decimal"/>
      <w:suff w:val="tab"/>
      <w:lvlText w:val="%1."/>
      <w:rPr>
        <w:color w:val="3370ff"/>
      </w:rPr>
    </w:lvl>
  </w:abstractNum>
  <w:abstractNum w:abstractNumId="394932">
    <w:lvl>
      <w:start w:val="2"/>
      <w:numFmt w:val="decimal"/>
      <w:suff w:val="tab"/>
      <w:lvlText w:val="%1."/>
      <w:rPr>
        <w:color w:val="3370ff"/>
      </w:rPr>
    </w:lvl>
  </w:abstractNum>
  <w:abstractNum w:abstractNumId="394933">
    <w:lvl>
      <w:start w:val="3"/>
      <w:numFmt w:val="decimal"/>
      <w:suff w:val="tab"/>
      <w:lvlText w:val="%1."/>
      <w:rPr>
        <w:color w:val="3370ff"/>
      </w:rPr>
    </w:lvl>
  </w:abstractNum>
  <w:abstractNum w:abstractNumId="394934">
    <w:lvl>
      <w:start w:val="4"/>
      <w:numFmt w:val="decimal"/>
      <w:suff w:val="tab"/>
      <w:lvlText w:val="%1."/>
      <w:rPr>
        <w:color w:val="3370ff"/>
      </w:rPr>
    </w:lvl>
  </w:abstractNum>
  <w:abstractNum w:abstractNumId="394935">
    <w:lvl>
      <w:start w:val="5"/>
      <w:numFmt w:val="decimal"/>
      <w:suff w:val="tab"/>
      <w:lvlText w:val="%1."/>
      <w:rPr>
        <w:color w:val="3370ff"/>
      </w:rPr>
    </w:lvl>
  </w:abstractNum>
  <w:abstractNum w:abstractNumId="394936">
    <w:lvl>
      <w:start w:val="6"/>
      <w:numFmt w:val="decimal"/>
      <w:suff w:val="tab"/>
      <w:lvlText w:val="%1."/>
      <w:rPr>
        <w:color w:val="3370ff"/>
      </w:rPr>
    </w:lvl>
  </w:abstractNum>
  <w:abstractNum w:abstractNumId="394937">
    <w:lvl>
      <w:numFmt w:val="bullet"/>
      <w:suff w:val="tab"/>
      <w:lvlText w:val="•"/>
      <w:rPr>
        <w:color w:val="3370ff"/>
      </w:rPr>
    </w:lvl>
  </w:abstractNum>
  <w:abstractNum w:abstractNumId="394938">
    <w:lvl>
      <w:numFmt w:val="bullet"/>
      <w:suff w:val="tab"/>
      <w:lvlText w:val="•"/>
      <w:rPr>
        <w:color w:val="3370ff"/>
      </w:rPr>
    </w:lvl>
  </w:abstractNum>
  <w:abstractNum w:abstractNumId="394939">
    <w:lvl>
      <w:numFmt w:val="bullet"/>
      <w:suff w:val="tab"/>
      <w:lvlText w:val="•"/>
      <w:rPr>
        <w:color w:val="3370ff"/>
      </w:rPr>
    </w:lvl>
  </w:abstractNum>
  <w:abstractNum w:abstractNumId="394940">
    <w:lvl>
      <w:numFmt w:val="bullet"/>
      <w:suff w:val="tab"/>
      <w:lvlText w:val="•"/>
      <w:rPr>
        <w:color w:val="3370ff"/>
      </w:rPr>
    </w:lvl>
  </w:abstractNum>
  <w:abstractNum w:abstractNumId="394941">
    <w:lvl>
      <w:numFmt w:val="bullet"/>
      <w:suff w:val="tab"/>
      <w:lvlText w:val="•"/>
      <w:rPr>
        <w:color w:val="3370ff"/>
      </w:rPr>
    </w:lvl>
  </w:abstractNum>
  <w:abstractNum w:abstractNumId="394942">
    <w:lvl>
      <w:numFmt w:val="bullet"/>
      <w:suff w:val="tab"/>
      <w:lvlText w:val="•"/>
      <w:rPr>
        <w:color w:val="3370ff"/>
      </w:rPr>
    </w:lvl>
  </w:abstractNum>
  <w:abstractNum w:abstractNumId="394943">
    <w:lvl>
      <w:numFmt w:val="bullet"/>
      <w:suff w:val="tab"/>
      <w:lvlText w:val="•"/>
      <w:rPr>
        <w:color w:val="3370ff"/>
      </w:rPr>
    </w:lvl>
  </w:abstractNum>
  <w:abstractNum w:abstractNumId="394944">
    <w:lvl>
      <w:numFmt w:val="bullet"/>
      <w:suff w:val="tab"/>
      <w:lvlText w:val="•"/>
      <w:rPr>
        <w:color w:val="3370ff"/>
      </w:rPr>
    </w:lvl>
  </w:abstractNum>
  <w:abstractNum w:abstractNumId="394945">
    <w:lvl>
      <w:numFmt w:val="bullet"/>
      <w:suff w:val="tab"/>
      <w:lvlText w:val="•"/>
      <w:rPr>
        <w:color w:val="3370ff"/>
      </w:rPr>
    </w:lvl>
  </w:abstractNum>
  <w:abstractNum w:abstractNumId="394946">
    <w:lvl>
      <w:numFmt w:val="bullet"/>
      <w:suff w:val="tab"/>
      <w:lvlText w:val="•"/>
      <w:rPr>
        <w:color w:val="3370ff"/>
      </w:rPr>
    </w:lvl>
  </w:abstractNum>
  <w:abstractNum w:abstractNumId="394947">
    <w:lvl>
      <w:numFmt w:val="bullet"/>
      <w:suff w:val="tab"/>
      <w:lvlText w:val="•"/>
      <w:rPr>
        <w:color w:val="3370ff"/>
      </w:rPr>
    </w:lvl>
  </w:abstractNum>
  <w:abstractNum w:abstractNumId="394948">
    <w:lvl>
      <w:numFmt w:val="bullet"/>
      <w:suff w:val="tab"/>
      <w:lvlText w:val="•"/>
      <w:rPr>
        <w:color w:val="3370ff"/>
      </w:rPr>
    </w:lvl>
  </w:abstractNum>
  <w:abstractNum w:abstractNumId="394949">
    <w:lvl>
      <w:numFmt w:val="bullet"/>
      <w:suff w:val="tab"/>
      <w:lvlText w:val="•"/>
      <w:rPr>
        <w:color w:val="3370ff"/>
      </w:rPr>
    </w:lvl>
  </w:abstractNum>
  <w:abstractNum w:abstractNumId="394950">
    <w:lvl>
      <w:numFmt w:val="bullet"/>
      <w:suff w:val="tab"/>
      <w:lvlText w:val="•"/>
      <w:rPr>
        <w:color w:val="3370ff"/>
      </w:rPr>
    </w:lvl>
  </w:abstractNum>
  <w:abstractNum w:abstractNumId="394951">
    <w:lvl>
      <w:numFmt w:val="bullet"/>
      <w:suff w:val="tab"/>
      <w:lvlText w:val="•"/>
      <w:rPr>
        <w:color w:val="3370ff"/>
      </w:rPr>
    </w:lvl>
  </w:abstractNum>
  <w:abstractNum w:abstractNumId="394952">
    <w:lvl>
      <w:numFmt w:val="bullet"/>
      <w:suff w:val="tab"/>
      <w:lvlText w:val="•"/>
      <w:rPr>
        <w:color w:val="3370ff"/>
      </w:rPr>
    </w:lvl>
  </w:abstractNum>
  <w:abstractNum w:abstractNumId="394953">
    <w:lvl>
      <w:numFmt w:val="bullet"/>
      <w:suff w:val="tab"/>
      <w:lvlText w:val="•"/>
      <w:rPr>
        <w:color w:val="3370ff"/>
      </w:rPr>
    </w:lvl>
  </w:abstractNum>
  <w:abstractNum w:abstractNumId="394954">
    <w:lvl>
      <w:numFmt w:val="bullet"/>
      <w:suff w:val="tab"/>
      <w:lvlText w:val="•"/>
      <w:rPr>
        <w:color w:val="3370ff"/>
      </w:rPr>
    </w:lvl>
  </w:abstractNum>
  <w:abstractNum w:abstractNumId="394955">
    <w:lvl>
      <w:numFmt w:val="bullet"/>
      <w:suff w:val="tab"/>
      <w:lvlText w:val="•"/>
      <w:rPr>
        <w:color w:val="3370ff"/>
      </w:rPr>
    </w:lvl>
  </w:abstractNum>
  <w:abstractNum w:abstractNumId="394956">
    <w:lvl>
      <w:numFmt w:val="bullet"/>
      <w:suff w:val="tab"/>
      <w:lvlText w:val="•"/>
      <w:rPr>
        <w:color w:val="3370ff"/>
      </w:rPr>
    </w:lvl>
  </w:abstractNum>
  <w:abstractNum w:abstractNumId="394957">
    <w:lvl>
      <w:numFmt w:val="bullet"/>
      <w:suff w:val="tab"/>
      <w:lvlText w:val="•"/>
      <w:rPr>
        <w:color w:val="3370ff"/>
      </w:rPr>
    </w:lvl>
  </w:abstractNum>
  <w:abstractNum w:abstractNumId="394958">
    <w:lvl>
      <w:numFmt w:val="bullet"/>
      <w:suff w:val="tab"/>
      <w:lvlText w:val="•"/>
      <w:rPr>
        <w:color w:val="3370ff"/>
      </w:rPr>
    </w:lvl>
  </w:abstractNum>
  <w:abstractNum w:abstractNumId="394959">
    <w:lvl>
      <w:numFmt w:val="bullet"/>
      <w:suff w:val="tab"/>
      <w:lvlText w:val="•"/>
      <w:rPr>
        <w:color w:val="3370ff"/>
      </w:rPr>
    </w:lvl>
  </w:abstractNum>
  <w:abstractNum w:abstractNumId="394960">
    <w:lvl>
      <w:numFmt w:val="bullet"/>
      <w:suff w:val="tab"/>
      <w:lvlText w:val="•"/>
      <w:rPr>
        <w:color w:val="3370ff"/>
      </w:rPr>
    </w:lvl>
  </w:abstractNum>
  <w:abstractNum w:abstractNumId="394961">
    <w:lvl>
      <w:numFmt w:val="bullet"/>
      <w:suff w:val="tab"/>
      <w:lvlText w:val="•"/>
      <w:rPr>
        <w:color w:val="3370ff"/>
      </w:rPr>
    </w:lvl>
  </w:abstractNum>
  <w:abstractNum w:abstractNumId="394962">
    <w:lvl>
      <w:numFmt w:val="bullet"/>
      <w:suff w:val="tab"/>
      <w:lvlText w:val="•"/>
      <w:rPr>
        <w:color w:val="3370ff"/>
      </w:rPr>
    </w:lvl>
  </w:abstractNum>
  <w:abstractNum w:abstractNumId="394963">
    <w:lvl>
      <w:numFmt w:val="bullet"/>
      <w:suff w:val="tab"/>
      <w:lvlText w:val="•"/>
      <w:rPr>
        <w:color w:val="3370ff"/>
      </w:rPr>
    </w:lvl>
  </w:abstractNum>
  <w:abstractNum w:abstractNumId="394964">
    <w:lvl>
      <w:numFmt w:val="bullet"/>
      <w:suff w:val="tab"/>
      <w:lvlText w:val="•"/>
      <w:rPr>
        <w:color w:val="3370ff"/>
      </w:rPr>
    </w:lvl>
  </w:abstractNum>
  <w:abstractNum w:abstractNumId="394965">
    <w:lvl>
      <w:numFmt w:val="bullet"/>
      <w:suff w:val="tab"/>
      <w:lvlText w:val="•"/>
      <w:rPr>
        <w:color w:val="3370ff"/>
      </w:rPr>
    </w:lvl>
  </w:abstractNum>
  <w:abstractNum w:abstractNumId="394966">
    <w:lvl>
      <w:numFmt w:val="bullet"/>
      <w:suff w:val="tab"/>
      <w:lvlText w:val="•"/>
      <w:rPr>
        <w:color w:val="3370ff"/>
      </w:rPr>
    </w:lvl>
  </w:abstractNum>
  <w:abstractNum w:abstractNumId="394967">
    <w:lvl>
      <w:numFmt w:val="bullet"/>
      <w:suff w:val="tab"/>
      <w:lvlText w:val="•"/>
      <w:rPr>
        <w:color w:val="3370ff"/>
      </w:rPr>
    </w:lvl>
  </w:abstractNum>
  <w:abstractNum w:abstractNumId="394968">
    <w:lvl>
      <w:numFmt w:val="bullet"/>
      <w:suff w:val="tab"/>
      <w:lvlText w:val="•"/>
      <w:rPr>
        <w:color w:val="3370ff"/>
      </w:rPr>
    </w:lvl>
  </w:abstractNum>
  <w:abstractNum w:abstractNumId="394969">
    <w:lvl>
      <w:numFmt w:val="bullet"/>
      <w:suff w:val="tab"/>
      <w:lvlText w:val="•"/>
      <w:rPr>
        <w:color w:val="3370ff"/>
      </w:rPr>
    </w:lvl>
  </w:abstractNum>
  <w:abstractNum w:abstractNumId="394970">
    <w:lvl>
      <w:numFmt w:val="bullet"/>
      <w:suff w:val="tab"/>
      <w:lvlText w:val="•"/>
      <w:rPr>
        <w:color w:val="3370ff"/>
      </w:rPr>
    </w:lvl>
  </w:abstractNum>
  <w:abstractNum w:abstractNumId="394971">
    <w:lvl>
      <w:numFmt w:val="bullet"/>
      <w:suff w:val="tab"/>
      <w:lvlText w:val="•"/>
      <w:rPr>
        <w:color w:val="3370ff"/>
      </w:rPr>
    </w:lvl>
  </w:abstractNum>
  <w:abstractNum w:abstractNumId="394972">
    <w:lvl>
      <w:numFmt w:val="bullet"/>
      <w:suff w:val="tab"/>
      <w:lvlText w:val="•"/>
      <w:rPr>
        <w:color w:val="3370ff"/>
      </w:rPr>
    </w:lvl>
  </w:abstractNum>
  <w:abstractNum w:abstractNumId="394973">
    <w:lvl>
      <w:numFmt w:val="bullet"/>
      <w:suff w:val="tab"/>
      <w:lvlText w:val="•"/>
      <w:rPr>
        <w:color w:val="3370ff"/>
      </w:rPr>
    </w:lvl>
  </w:abstractNum>
  <w:abstractNum w:abstractNumId="394974">
    <w:lvl>
      <w:numFmt w:val="bullet"/>
      <w:suff w:val="tab"/>
      <w:lvlText w:val="•"/>
      <w:rPr>
        <w:color w:val="3370ff"/>
      </w:rPr>
    </w:lvl>
  </w:abstractNum>
  <w:abstractNum w:abstractNumId="394975">
    <w:lvl>
      <w:numFmt w:val="bullet"/>
      <w:suff w:val="tab"/>
      <w:lvlText w:val="•"/>
      <w:rPr>
        <w:color w:val="3370ff"/>
      </w:rPr>
    </w:lvl>
  </w:abstractNum>
  <w:abstractNum w:abstractNumId="394976">
    <w:lvl>
      <w:numFmt w:val="bullet"/>
      <w:suff w:val="tab"/>
      <w:lvlText w:val="•"/>
      <w:rPr>
        <w:color w:val="3370ff"/>
      </w:rPr>
    </w:lvl>
  </w:abstractNum>
  <w:abstractNum w:abstractNumId="394977">
    <w:lvl>
      <w:numFmt w:val="bullet"/>
      <w:suff w:val="tab"/>
      <w:lvlText w:val="•"/>
      <w:rPr>
        <w:color w:val="3370ff"/>
      </w:rPr>
    </w:lvl>
  </w:abstractNum>
  <w:abstractNum w:abstractNumId="394978">
    <w:lvl>
      <w:numFmt w:val="bullet"/>
      <w:suff w:val="tab"/>
      <w:lvlText w:val="•"/>
      <w:rPr>
        <w:color w:val="3370ff"/>
      </w:rPr>
    </w:lvl>
  </w:abstractNum>
  <w:abstractNum w:abstractNumId="394979">
    <w:lvl>
      <w:numFmt w:val="bullet"/>
      <w:suff w:val="tab"/>
      <w:lvlText w:val="•"/>
      <w:rPr>
        <w:color w:val="3370ff"/>
      </w:rPr>
    </w:lvl>
  </w:abstractNum>
  <w:abstractNum w:abstractNumId="394980">
    <w:lvl>
      <w:numFmt w:val="bullet"/>
      <w:suff w:val="tab"/>
      <w:lvlText w:val="•"/>
      <w:rPr>
        <w:color w:val="3370ff"/>
      </w:rPr>
    </w:lvl>
  </w:abstractNum>
  <w:abstractNum w:abstractNumId="394981">
    <w:lvl>
      <w:numFmt w:val="bullet"/>
      <w:suff w:val="tab"/>
      <w:lvlText w:val="•"/>
      <w:rPr>
        <w:color w:val="3370ff"/>
      </w:rPr>
    </w:lvl>
  </w:abstractNum>
  <w:abstractNum w:abstractNumId="394982">
    <w:lvl>
      <w:numFmt w:val="bullet"/>
      <w:suff w:val="tab"/>
      <w:lvlText w:val="•"/>
      <w:rPr>
        <w:color w:val="3370ff"/>
      </w:rPr>
    </w:lvl>
  </w:abstractNum>
  <w:abstractNum w:abstractNumId="394983">
    <w:lvl>
      <w:numFmt w:val="bullet"/>
      <w:suff w:val="tab"/>
      <w:lvlText w:val="•"/>
      <w:rPr>
        <w:color w:val="3370ff"/>
      </w:rPr>
    </w:lvl>
  </w:abstractNum>
  <w:abstractNum w:abstractNumId="394984">
    <w:lvl>
      <w:numFmt w:val="bullet"/>
      <w:suff w:val="tab"/>
      <w:lvlText w:val="•"/>
      <w:rPr>
        <w:color w:val="3370ff"/>
      </w:rPr>
    </w:lvl>
  </w:abstractNum>
  <w:abstractNum w:abstractNumId="394985">
    <w:lvl>
      <w:numFmt w:val="bullet"/>
      <w:suff w:val="tab"/>
      <w:lvlText w:val="•"/>
      <w:rPr>
        <w:color w:val="3370ff"/>
      </w:rPr>
    </w:lvl>
  </w:abstractNum>
  <w:abstractNum w:abstractNumId="394986">
    <w:lvl>
      <w:numFmt w:val="bullet"/>
      <w:suff w:val="tab"/>
      <w:lvlText w:val="•"/>
      <w:rPr>
        <w:color w:val="3370ff"/>
      </w:rPr>
    </w:lvl>
  </w:abstractNum>
  <w:abstractNum w:abstractNumId="394987">
    <w:lvl>
      <w:numFmt w:val="bullet"/>
      <w:suff w:val="tab"/>
      <w:lvlText w:val="•"/>
      <w:rPr>
        <w:color w:val="3370ff"/>
      </w:rPr>
    </w:lvl>
  </w:abstractNum>
  <w:abstractNum w:abstractNumId="394988">
    <w:lvl>
      <w:numFmt w:val="bullet"/>
      <w:suff w:val="tab"/>
      <w:lvlText w:val="•"/>
      <w:rPr>
        <w:color w:val="3370ff"/>
      </w:rPr>
    </w:lvl>
  </w:abstractNum>
  <w:abstractNum w:abstractNumId="394989">
    <w:lvl>
      <w:numFmt w:val="bullet"/>
      <w:suff w:val="tab"/>
      <w:lvlText w:val="•"/>
      <w:rPr>
        <w:color w:val="3370ff"/>
      </w:rPr>
    </w:lvl>
  </w:abstractNum>
  <w:abstractNum w:abstractNumId="394990">
    <w:lvl>
      <w:numFmt w:val="bullet"/>
      <w:suff w:val="tab"/>
      <w:lvlText w:val="•"/>
      <w:rPr>
        <w:color w:val="3370ff"/>
      </w:rPr>
    </w:lvl>
  </w:abstractNum>
  <w:abstractNum w:abstractNumId="394991">
    <w:lvl>
      <w:numFmt w:val="bullet"/>
      <w:suff w:val="tab"/>
      <w:lvlText w:val="•"/>
      <w:rPr>
        <w:color w:val="3370ff"/>
      </w:rPr>
    </w:lvl>
  </w:abstractNum>
  <w:abstractNum w:abstractNumId="394992">
    <w:lvl>
      <w:numFmt w:val="bullet"/>
      <w:suff w:val="tab"/>
      <w:lvlText w:val="•"/>
      <w:rPr>
        <w:color w:val="3370ff"/>
      </w:rPr>
    </w:lvl>
  </w:abstractNum>
  <w:abstractNum w:abstractNumId="394993">
    <w:lvl>
      <w:numFmt w:val="bullet"/>
      <w:suff w:val="tab"/>
      <w:lvlText w:val="•"/>
      <w:rPr>
        <w:color w:val="3370ff"/>
      </w:rPr>
    </w:lvl>
  </w:abstractNum>
  <w:abstractNum w:abstractNumId="394994">
    <w:lvl>
      <w:numFmt w:val="bullet"/>
      <w:suff w:val="tab"/>
      <w:lvlText w:val="•"/>
      <w:rPr>
        <w:color w:val="3370ff"/>
      </w:rPr>
    </w:lvl>
  </w:abstractNum>
  <w:abstractNum w:abstractNumId="394995">
    <w:lvl>
      <w:numFmt w:val="bullet"/>
      <w:suff w:val="tab"/>
      <w:lvlText w:val="•"/>
      <w:rPr>
        <w:color w:val="3370ff"/>
      </w:rPr>
    </w:lvl>
  </w:abstractNum>
  <w:abstractNum w:abstractNumId="394996">
    <w:lvl>
      <w:numFmt w:val="bullet"/>
      <w:suff w:val="tab"/>
      <w:lvlText w:val="•"/>
      <w:rPr>
        <w:color w:val="3370ff"/>
      </w:rPr>
    </w:lvl>
  </w:abstractNum>
  <w:abstractNum w:abstractNumId="394997">
    <w:lvl>
      <w:numFmt w:val="bullet"/>
      <w:suff w:val="tab"/>
      <w:lvlText w:val="•"/>
      <w:rPr>
        <w:color w:val="3370ff"/>
      </w:rPr>
    </w:lvl>
  </w:abstractNum>
  <w:abstractNum w:abstractNumId="394998">
    <w:lvl>
      <w:numFmt w:val="bullet"/>
      <w:suff w:val="tab"/>
      <w:lvlText w:val="•"/>
      <w:rPr>
        <w:color w:val="3370ff"/>
      </w:rPr>
    </w:lvl>
  </w:abstractNum>
  <w:abstractNum w:abstractNumId="394999">
    <w:lvl>
      <w:numFmt w:val="bullet"/>
      <w:suff w:val="tab"/>
      <w:lvlText w:val="•"/>
      <w:rPr>
        <w:color w:val="3370ff"/>
      </w:rPr>
    </w:lvl>
  </w:abstractNum>
  <w:abstractNum w:abstractNumId="395000">
    <w:lvl>
      <w:numFmt w:val="bullet"/>
      <w:suff w:val="tab"/>
      <w:lvlText w:val="•"/>
      <w:rPr>
        <w:color w:val="3370ff"/>
      </w:rPr>
    </w:lvl>
  </w:abstractNum>
  <w:abstractNum w:abstractNumId="395001">
    <w:lvl>
      <w:numFmt w:val="bullet"/>
      <w:suff w:val="tab"/>
      <w:lvlText w:val="•"/>
      <w:rPr>
        <w:color w:val="3370ff"/>
      </w:rPr>
    </w:lvl>
  </w:abstractNum>
  <w:abstractNum w:abstractNumId="395002">
    <w:lvl>
      <w:numFmt w:val="bullet"/>
      <w:suff w:val="tab"/>
      <w:lvlText w:val="•"/>
      <w:rPr>
        <w:color w:val="3370ff"/>
      </w:rPr>
    </w:lvl>
  </w:abstractNum>
  <w:abstractNum w:abstractNumId="395003">
    <w:lvl>
      <w:numFmt w:val="bullet"/>
      <w:suff w:val="tab"/>
      <w:lvlText w:val="•"/>
      <w:rPr>
        <w:color w:val="3370ff"/>
      </w:rPr>
    </w:lvl>
  </w:abstractNum>
  <w:abstractNum w:abstractNumId="395004">
    <w:lvl>
      <w:numFmt w:val="bullet"/>
      <w:suff w:val="tab"/>
      <w:lvlText w:val="•"/>
      <w:rPr>
        <w:color w:val="3370ff"/>
      </w:rPr>
    </w:lvl>
  </w:abstractNum>
  <w:abstractNum w:abstractNumId="395005">
    <w:lvl>
      <w:numFmt w:val="bullet"/>
      <w:suff w:val="tab"/>
      <w:lvlText w:val="•"/>
      <w:rPr>
        <w:color w:val="3370ff"/>
      </w:rPr>
    </w:lvl>
  </w:abstractNum>
  <w:abstractNum w:abstractNumId="395006">
    <w:lvl>
      <w:numFmt w:val="bullet"/>
      <w:suff w:val="tab"/>
      <w:lvlText w:val="•"/>
      <w:rPr>
        <w:color w:val="3370ff"/>
      </w:rPr>
    </w:lvl>
  </w:abstractNum>
  <w:abstractNum w:abstractNumId="395007">
    <w:lvl>
      <w:numFmt w:val="bullet"/>
      <w:suff w:val="tab"/>
      <w:lvlText w:val="•"/>
      <w:rPr>
        <w:color w:val="3370ff"/>
      </w:rPr>
    </w:lvl>
  </w:abstractNum>
  <w:abstractNum w:abstractNumId="395008">
    <w:lvl>
      <w:numFmt w:val="bullet"/>
      <w:suff w:val="tab"/>
      <w:lvlText w:val="•"/>
      <w:rPr>
        <w:color w:val="3370ff"/>
      </w:rPr>
    </w:lvl>
  </w:abstractNum>
  <w:abstractNum w:abstractNumId="395009">
    <w:lvl>
      <w:numFmt w:val="bullet"/>
      <w:suff w:val="tab"/>
      <w:lvlText w:val="•"/>
      <w:rPr>
        <w:color w:val="3370ff"/>
      </w:rPr>
    </w:lvl>
  </w:abstractNum>
  <w:abstractNum w:abstractNumId="395010">
    <w:lvl>
      <w:numFmt w:val="bullet"/>
      <w:suff w:val="tab"/>
      <w:lvlText w:val="•"/>
      <w:rPr>
        <w:color w:val="3370ff"/>
      </w:rPr>
    </w:lvl>
  </w:abstractNum>
  <w:abstractNum w:abstractNumId="395011">
    <w:lvl>
      <w:numFmt w:val="bullet"/>
      <w:suff w:val="tab"/>
      <w:lvlText w:val="•"/>
      <w:rPr>
        <w:color w:val="3370ff"/>
      </w:rPr>
    </w:lvl>
  </w:abstractNum>
  <w:abstractNum w:abstractNumId="395012">
    <w:lvl>
      <w:numFmt w:val="bullet"/>
      <w:suff w:val="tab"/>
      <w:lvlText w:val="•"/>
      <w:rPr>
        <w:color w:val="3370ff"/>
      </w:rPr>
    </w:lvl>
  </w:abstractNum>
  <w:abstractNum w:abstractNumId="395013">
    <w:lvl>
      <w:numFmt w:val="bullet"/>
      <w:suff w:val="tab"/>
      <w:lvlText w:val="•"/>
      <w:rPr>
        <w:color w:val="3370ff"/>
      </w:rPr>
    </w:lvl>
  </w:abstractNum>
  <w:abstractNum w:abstractNumId="395014">
    <w:lvl>
      <w:numFmt w:val="bullet"/>
      <w:suff w:val="tab"/>
      <w:lvlText w:val="•"/>
      <w:rPr>
        <w:color w:val="3370ff"/>
      </w:rPr>
    </w:lvl>
  </w:abstractNum>
  <w:abstractNum w:abstractNumId="395015">
    <w:lvl>
      <w:numFmt w:val="bullet"/>
      <w:suff w:val="tab"/>
      <w:lvlText w:val="•"/>
      <w:rPr>
        <w:color w:val="3370ff"/>
      </w:rPr>
    </w:lvl>
  </w:abstractNum>
  <w:abstractNum w:abstractNumId="395016">
    <w:lvl>
      <w:numFmt w:val="bullet"/>
      <w:suff w:val="tab"/>
      <w:lvlText w:val="•"/>
      <w:rPr>
        <w:color w:val="3370ff"/>
      </w:rPr>
    </w:lvl>
  </w:abstractNum>
  <w:abstractNum w:abstractNumId="395017">
    <w:lvl>
      <w:numFmt w:val="bullet"/>
      <w:suff w:val="tab"/>
      <w:lvlText w:val="•"/>
      <w:rPr>
        <w:color w:val="3370ff"/>
      </w:rPr>
    </w:lvl>
  </w:abstractNum>
  <w:abstractNum w:abstractNumId="395018">
    <w:lvl>
      <w:numFmt w:val="bullet"/>
      <w:suff w:val="tab"/>
      <w:lvlText w:val="•"/>
      <w:rPr>
        <w:color w:val="3370ff"/>
      </w:rPr>
    </w:lvl>
  </w:abstractNum>
  <w:abstractNum w:abstractNumId="395019">
    <w:lvl>
      <w:numFmt w:val="bullet"/>
      <w:suff w:val="tab"/>
      <w:lvlText w:val="•"/>
      <w:rPr>
        <w:color w:val="3370ff"/>
      </w:rPr>
    </w:lvl>
  </w:abstractNum>
  <w:abstractNum w:abstractNumId="395020">
    <w:lvl>
      <w:numFmt w:val="bullet"/>
      <w:suff w:val="tab"/>
      <w:lvlText w:val="•"/>
      <w:rPr>
        <w:color w:val="3370ff"/>
      </w:rPr>
    </w:lvl>
  </w:abstractNum>
  <w:abstractNum w:abstractNumId="395021">
    <w:lvl>
      <w:numFmt w:val="bullet"/>
      <w:suff w:val="tab"/>
      <w:lvlText w:val="•"/>
      <w:rPr>
        <w:color w:val="3370ff"/>
      </w:rPr>
    </w:lvl>
  </w:abstractNum>
  <w:abstractNum w:abstractNumId="395022">
    <w:lvl>
      <w:numFmt w:val="bullet"/>
      <w:suff w:val="tab"/>
      <w:lvlText w:val="•"/>
      <w:rPr>
        <w:color w:val="3370ff"/>
      </w:rPr>
    </w:lvl>
  </w:abstractNum>
  <w:abstractNum w:abstractNumId="395023">
    <w:lvl>
      <w:numFmt w:val="bullet"/>
      <w:suff w:val="tab"/>
      <w:lvlText w:val="•"/>
      <w:rPr>
        <w:color w:val="3370ff"/>
      </w:rPr>
    </w:lvl>
  </w:abstractNum>
  <w:abstractNum w:abstractNumId="395024">
    <w:lvl>
      <w:numFmt w:val="bullet"/>
      <w:suff w:val="tab"/>
      <w:lvlText w:val="•"/>
      <w:rPr>
        <w:color w:val="3370ff"/>
      </w:rPr>
    </w:lvl>
  </w:abstractNum>
  <w:abstractNum w:abstractNumId="395025">
    <w:lvl>
      <w:numFmt w:val="bullet"/>
      <w:suff w:val="tab"/>
      <w:lvlText w:val="•"/>
      <w:rPr>
        <w:color w:val="3370ff"/>
      </w:rPr>
    </w:lvl>
  </w:abstractNum>
  <w:abstractNum w:abstractNumId="395026">
    <w:lvl>
      <w:numFmt w:val="bullet"/>
      <w:suff w:val="tab"/>
      <w:lvlText w:val="•"/>
      <w:rPr>
        <w:color w:val="3370ff"/>
      </w:rPr>
    </w:lvl>
  </w:abstractNum>
  <w:abstractNum w:abstractNumId="395027">
    <w:lvl>
      <w:numFmt w:val="bullet"/>
      <w:suff w:val="tab"/>
      <w:lvlText w:val="•"/>
      <w:rPr>
        <w:color w:val="3370ff"/>
      </w:rPr>
    </w:lvl>
  </w:abstractNum>
  <w:abstractNum w:abstractNumId="395028">
    <w:lvl>
      <w:numFmt w:val="bullet"/>
      <w:suff w:val="tab"/>
      <w:lvlText w:val="•"/>
      <w:rPr>
        <w:color w:val="3370ff"/>
      </w:rPr>
    </w:lvl>
  </w:abstractNum>
  <w:abstractNum w:abstractNumId="395029">
    <w:lvl>
      <w:numFmt w:val="bullet"/>
      <w:suff w:val="tab"/>
      <w:lvlText w:val="•"/>
      <w:rPr>
        <w:color w:val="3370ff"/>
      </w:rPr>
    </w:lvl>
  </w:abstractNum>
  <w:abstractNum w:abstractNumId="395030">
    <w:lvl>
      <w:numFmt w:val="bullet"/>
      <w:suff w:val="tab"/>
      <w:lvlText w:val="•"/>
      <w:rPr>
        <w:color w:val="3370ff"/>
      </w:rPr>
    </w:lvl>
  </w:abstractNum>
  <w:abstractNum w:abstractNumId="395031">
    <w:lvl>
      <w:numFmt w:val="bullet"/>
      <w:suff w:val="tab"/>
      <w:lvlText w:val="•"/>
      <w:rPr>
        <w:color w:val="3370ff"/>
      </w:rPr>
    </w:lvl>
  </w:abstractNum>
  <w:abstractNum w:abstractNumId="395032">
    <w:lvl>
      <w:numFmt w:val="bullet"/>
      <w:suff w:val="tab"/>
      <w:lvlText w:val="•"/>
      <w:rPr>
        <w:color w:val="3370ff"/>
      </w:rPr>
    </w:lvl>
  </w:abstractNum>
  <w:abstractNum w:abstractNumId="395033">
    <w:lvl>
      <w:numFmt w:val="bullet"/>
      <w:suff w:val="tab"/>
      <w:lvlText w:val="•"/>
      <w:rPr>
        <w:color w:val="3370ff"/>
      </w:rPr>
    </w:lvl>
  </w:abstractNum>
  <w:abstractNum w:abstractNumId="395034">
    <w:lvl>
      <w:numFmt w:val="bullet"/>
      <w:suff w:val="tab"/>
      <w:lvlText w:val="•"/>
      <w:rPr>
        <w:color w:val="3370ff"/>
      </w:rPr>
    </w:lvl>
  </w:abstractNum>
  <w:abstractNum w:abstractNumId="395035">
    <w:lvl>
      <w:numFmt w:val="bullet"/>
      <w:suff w:val="tab"/>
      <w:lvlText w:val="•"/>
      <w:rPr>
        <w:color w:val="3370ff"/>
      </w:rPr>
    </w:lvl>
  </w:abstractNum>
  <w:abstractNum w:abstractNumId="395036">
    <w:lvl>
      <w:numFmt w:val="bullet"/>
      <w:suff w:val="tab"/>
      <w:lvlText w:val="•"/>
      <w:rPr>
        <w:color w:val="3370ff"/>
      </w:rPr>
    </w:lvl>
  </w:abstractNum>
  <w:abstractNum w:abstractNumId="395037">
    <w:lvl>
      <w:numFmt w:val="bullet"/>
      <w:suff w:val="tab"/>
      <w:lvlText w:val="•"/>
      <w:rPr>
        <w:color w:val="3370ff"/>
      </w:rPr>
    </w:lvl>
  </w:abstractNum>
  <w:abstractNum w:abstractNumId="395038">
    <w:lvl>
      <w:numFmt w:val="bullet"/>
      <w:suff w:val="tab"/>
      <w:lvlText w:val="•"/>
      <w:rPr>
        <w:color w:val="3370ff"/>
      </w:rPr>
    </w:lvl>
  </w:abstractNum>
  <w:abstractNum w:abstractNumId="395039">
    <w:lvl>
      <w:numFmt w:val="bullet"/>
      <w:suff w:val="tab"/>
      <w:lvlText w:val="•"/>
      <w:rPr>
        <w:color w:val="3370ff"/>
      </w:rPr>
    </w:lvl>
  </w:abstractNum>
  <w:abstractNum w:abstractNumId="395040">
    <w:lvl>
      <w:numFmt w:val="bullet"/>
      <w:suff w:val="tab"/>
      <w:lvlText w:val="•"/>
      <w:rPr>
        <w:color w:val="3370ff"/>
      </w:rPr>
    </w:lvl>
  </w:abstractNum>
  <w:abstractNum w:abstractNumId="395041">
    <w:lvl>
      <w:numFmt w:val="bullet"/>
      <w:suff w:val="tab"/>
      <w:lvlText w:val="•"/>
      <w:rPr>
        <w:color w:val="3370ff"/>
      </w:rPr>
    </w:lvl>
  </w:abstractNum>
  <w:abstractNum w:abstractNumId="395042">
    <w:lvl>
      <w:numFmt w:val="bullet"/>
      <w:suff w:val="tab"/>
      <w:lvlText w:val="•"/>
      <w:rPr>
        <w:color w:val="3370ff"/>
      </w:rPr>
    </w:lvl>
  </w:abstractNum>
  <w:abstractNum w:abstractNumId="395043">
    <w:lvl>
      <w:numFmt w:val="bullet"/>
      <w:suff w:val="tab"/>
      <w:lvlText w:val="•"/>
      <w:rPr>
        <w:color w:val="3370ff"/>
      </w:rPr>
    </w:lvl>
  </w:abstractNum>
  <w:abstractNum w:abstractNumId="395044">
    <w:lvl>
      <w:numFmt w:val="bullet"/>
      <w:suff w:val="tab"/>
      <w:lvlText w:val="•"/>
      <w:rPr>
        <w:color w:val="3370ff"/>
      </w:rPr>
    </w:lvl>
  </w:abstractNum>
  <w:abstractNum w:abstractNumId="395045">
    <w:lvl>
      <w:numFmt w:val="bullet"/>
      <w:suff w:val="tab"/>
      <w:lvlText w:val="•"/>
      <w:rPr>
        <w:color w:val="3370ff"/>
      </w:rPr>
    </w:lvl>
  </w:abstractNum>
  <w:abstractNum w:abstractNumId="395046">
    <w:lvl>
      <w:start w:val="1"/>
      <w:numFmt w:val="decimal"/>
      <w:suff w:val="tab"/>
      <w:lvlText w:val="%1."/>
      <w:rPr>
        <w:color w:val="3370ff"/>
      </w:rPr>
    </w:lvl>
  </w:abstractNum>
  <w:abstractNum w:abstractNumId="395047">
    <w:lvl>
      <w:start w:val="2"/>
      <w:numFmt w:val="decimal"/>
      <w:suff w:val="tab"/>
      <w:lvlText w:val="%1."/>
      <w:rPr>
        <w:color w:val="3370ff"/>
      </w:rPr>
    </w:lvl>
  </w:abstractNum>
  <w:abstractNum w:abstractNumId="395048">
    <w:lvl>
      <w:numFmt w:val="bullet"/>
      <w:suff w:val="tab"/>
      <w:lvlText w:val="￮"/>
      <w:rPr>
        <w:color w:val="3370ff"/>
      </w:rPr>
    </w:lvl>
  </w:abstractNum>
  <w:abstractNum w:abstractNumId="395049">
    <w:lvl>
      <w:numFmt w:val="bullet"/>
      <w:suff w:val="tab"/>
      <w:lvlText w:val="￮"/>
      <w:rPr>
        <w:color w:val="3370ff"/>
      </w:rPr>
    </w:lvl>
  </w:abstractNum>
  <w:abstractNum w:abstractNumId="395050">
    <w:lvl>
      <w:numFmt w:val="bullet"/>
      <w:suff w:val="tab"/>
      <w:lvlText w:val="￮"/>
      <w:rPr>
        <w:color w:val="3370ff"/>
      </w:rPr>
    </w:lvl>
  </w:abstractNum>
  <w:abstractNum w:abstractNumId="395051">
    <w:lvl>
      <w:numFmt w:val="bullet"/>
      <w:suff w:val="tab"/>
      <w:lvlText w:val="￮"/>
      <w:rPr>
        <w:color w:val="3370ff"/>
      </w:rPr>
    </w:lvl>
  </w:abstractNum>
  <w:abstractNum w:abstractNumId="395052">
    <w:lvl>
      <w:numFmt w:val="bullet"/>
      <w:suff w:val="tab"/>
      <w:lvlText w:val="￮"/>
      <w:rPr>
        <w:color w:val="3370ff"/>
      </w:rPr>
    </w:lvl>
  </w:abstractNum>
  <w:abstractNum w:abstractNumId="395053">
    <w:lvl>
      <w:numFmt w:val="bullet"/>
      <w:suff w:val="tab"/>
      <w:lvlText w:val="￮"/>
      <w:rPr>
        <w:color w:val="3370ff"/>
      </w:rPr>
    </w:lvl>
  </w:abstractNum>
  <w:abstractNum w:abstractNumId="395054">
    <w:lvl>
      <w:numFmt w:val="bullet"/>
      <w:suff w:val="tab"/>
      <w:lvlText w:val="￮"/>
      <w:rPr>
        <w:color w:val="3370ff"/>
      </w:rPr>
    </w:lvl>
  </w:abstractNum>
  <w:abstractNum w:abstractNumId="395055">
    <w:lvl>
      <w:numFmt w:val="bullet"/>
      <w:suff w:val="tab"/>
      <w:lvlText w:val="￮"/>
      <w:rPr>
        <w:color w:val="3370ff"/>
      </w:rPr>
    </w:lvl>
  </w:abstractNum>
  <w:abstractNum w:abstractNumId="395056">
    <w:lvl>
      <w:start w:val="3"/>
      <w:numFmt w:val="decimal"/>
      <w:suff w:val="tab"/>
      <w:lvlText w:val="%1."/>
      <w:rPr>
        <w:color w:val="3370ff"/>
      </w:rPr>
    </w:lvl>
  </w:abstractNum>
  <w:abstractNum w:abstractNumId="395057">
    <w:lvl>
      <w:start w:val="4"/>
      <w:numFmt w:val="decimal"/>
      <w:suff w:val="tab"/>
      <w:lvlText w:val="%1."/>
      <w:rPr>
        <w:color w:val="3370ff"/>
      </w:rPr>
    </w:lvl>
  </w:abstractNum>
  <w:abstractNum w:abstractNumId="395058">
    <w:lvl>
      <w:start w:val="5"/>
      <w:numFmt w:val="decimal"/>
      <w:suff w:val="tab"/>
      <w:lvlText w:val="%1."/>
      <w:rPr>
        <w:color w:val="3370ff"/>
      </w:rPr>
    </w:lvl>
  </w:abstractNum>
  <w:abstractNum w:abstractNumId="395059">
    <w:lvl>
      <w:start w:val="6"/>
      <w:numFmt w:val="decimal"/>
      <w:suff w:val="tab"/>
      <w:lvlText w:val="%1."/>
      <w:rPr>
        <w:color w:val="3370ff"/>
      </w:rPr>
    </w:lvl>
  </w:abstractNum>
  <w:abstractNum w:abstractNumId="395060">
    <w:lvl>
      <w:start w:val="7"/>
      <w:numFmt w:val="decimal"/>
      <w:suff w:val="tab"/>
      <w:lvlText w:val="%1."/>
      <w:rPr>
        <w:color w:val="3370ff"/>
      </w:rPr>
    </w:lvl>
  </w:abstractNum>
  <w:abstractNum w:abstractNumId="395061">
    <w:lvl>
      <w:start w:val="8"/>
      <w:numFmt w:val="decimal"/>
      <w:suff w:val="tab"/>
      <w:lvlText w:val="%1."/>
      <w:rPr>
        <w:color w:val="3370ff"/>
      </w:rPr>
    </w:lvl>
  </w:abstractNum>
  <w:abstractNum w:abstractNumId="395062">
    <w:lvl>
      <w:start w:val="9"/>
      <w:numFmt w:val="decimal"/>
      <w:suff w:val="tab"/>
      <w:lvlText w:val="%1."/>
      <w:rPr>
        <w:color w:val="3370ff"/>
      </w:rPr>
    </w:lvl>
  </w:abstractNum>
  <w:abstractNum w:abstractNumId="395063">
    <w:lvl>
      <w:start w:val="10"/>
      <w:numFmt w:val="decimal"/>
      <w:suff w:val="tab"/>
      <w:lvlText w:val="%1."/>
      <w:rPr>
        <w:color w:val="3370ff"/>
      </w:rPr>
    </w:lvl>
  </w:abstractNum>
  <w:abstractNum w:abstractNumId="395064">
    <w:lvl>
      <w:start w:val="11"/>
      <w:numFmt w:val="decimal"/>
      <w:suff w:val="tab"/>
      <w:lvlText w:val="%1."/>
      <w:rPr>
        <w:color w:val="3370ff"/>
      </w:rPr>
    </w:lvl>
  </w:abstractNum>
  <w:abstractNum w:abstractNumId="395065">
    <w:lvl>
      <w:start w:val="12"/>
      <w:numFmt w:val="decimal"/>
      <w:suff w:val="tab"/>
      <w:lvlText w:val="%1."/>
      <w:rPr>
        <w:color w:val="3370ff"/>
      </w:rPr>
    </w:lvl>
  </w:abstractNum>
  <w:abstractNum w:abstractNumId="395066">
    <w:lvl>
      <w:start w:val="13"/>
      <w:numFmt w:val="decimal"/>
      <w:suff w:val="tab"/>
      <w:lvlText w:val="%1."/>
      <w:rPr>
        <w:color w:val="3370ff"/>
      </w:rPr>
    </w:lvl>
  </w:abstractNum>
  <w:abstractNum w:abstractNumId="395067">
    <w:lvl>
      <w:start w:val="14"/>
      <w:numFmt w:val="decimal"/>
      <w:suff w:val="tab"/>
      <w:lvlText w:val="%1."/>
      <w:rPr>
        <w:color w:val="3370ff"/>
      </w:rPr>
    </w:lvl>
  </w:abstractNum>
  <w:abstractNum w:abstractNumId="395068">
    <w:lvl>
      <w:numFmt w:val="bullet"/>
      <w:suff w:val="tab"/>
      <w:lvlText w:val="•"/>
      <w:rPr>
        <w:color w:val="3370ff"/>
      </w:rPr>
    </w:lvl>
  </w:abstractNum>
  <w:abstractNum w:abstractNumId="395069">
    <w:lvl>
      <w:numFmt w:val="bullet"/>
      <w:suff w:val="tab"/>
      <w:lvlText w:val="•"/>
      <w:rPr>
        <w:color w:val="3370ff"/>
      </w:rPr>
    </w:lvl>
  </w:abstractNum>
  <w:abstractNum w:abstractNumId="395070">
    <w:lvl>
      <w:numFmt w:val="bullet"/>
      <w:suff w:val="tab"/>
      <w:lvlText w:val="•"/>
      <w:rPr>
        <w:color w:val="3370ff"/>
      </w:rPr>
    </w:lvl>
  </w:abstractNum>
  <w:abstractNum w:abstractNumId="395071">
    <w:lvl>
      <w:numFmt w:val="bullet"/>
      <w:suff w:val="tab"/>
      <w:lvlText w:val="•"/>
      <w:rPr>
        <w:color w:val="3370ff"/>
      </w:rPr>
    </w:lvl>
  </w:abstractNum>
  <w:abstractNum w:abstractNumId="395072">
    <w:lvl>
      <w:start w:val="15"/>
      <w:numFmt w:val="decimal"/>
      <w:suff w:val="tab"/>
      <w:lvlText w:val="%1."/>
      <w:rPr>
        <w:color w:val="3370ff"/>
      </w:rPr>
    </w:lvl>
  </w:abstractNum>
  <w:abstractNum w:abstractNumId="395073">
    <w:lvl>
      <w:start w:val="16"/>
      <w:numFmt w:val="decimal"/>
      <w:suff w:val="tab"/>
      <w:lvlText w:val="%1."/>
      <w:rPr>
        <w:color w:val="3370ff"/>
      </w:rPr>
    </w:lvl>
  </w:abstractNum>
  <w:abstractNum w:abstractNumId="395074">
    <w:lvl>
      <w:start w:val="17"/>
      <w:numFmt w:val="decimal"/>
      <w:suff w:val="tab"/>
      <w:lvlText w:val="%1."/>
      <w:rPr>
        <w:color w:val="3370ff"/>
      </w:rPr>
    </w:lvl>
  </w:abstractNum>
  <w:abstractNum w:abstractNumId="395075">
    <w:lvl>
      <w:start w:val="18"/>
      <w:numFmt w:val="decimal"/>
      <w:suff w:val="tab"/>
      <w:lvlText w:val="%1."/>
      <w:rPr>
        <w:color w:val="3370ff"/>
      </w:rPr>
    </w:lvl>
  </w:abstractNum>
  <w:abstractNum w:abstractNumId="395076">
    <w:lvl>
      <w:start w:val="19"/>
      <w:numFmt w:val="decimal"/>
      <w:suff w:val="tab"/>
      <w:lvlText w:val="%1."/>
      <w:rPr>
        <w:color w:val="3370ff"/>
      </w:rPr>
    </w:lvl>
  </w:abstractNum>
  <w:abstractNum w:abstractNumId="395077">
    <w:lvl>
      <w:start w:val="20"/>
      <w:numFmt w:val="decimal"/>
      <w:suff w:val="tab"/>
      <w:lvlText w:val="%1."/>
      <w:rPr>
        <w:color w:val="3370ff"/>
      </w:rPr>
    </w:lvl>
  </w:abstractNum>
  <w:abstractNum w:abstractNumId="395078">
    <w:lvl>
      <w:numFmt w:val="bullet"/>
      <w:suff w:val="tab"/>
      <w:lvlText w:val="•"/>
      <w:rPr>
        <w:color w:val="3370ff"/>
      </w:rPr>
    </w:lvl>
  </w:abstractNum>
  <w:abstractNum w:abstractNumId="395079">
    <w:lvl>
      <w:numFmt w:val="bullet"/>
      <w:suff w:val="tab"/>
      <w:lvlText w:val="•"/>
      <w:rPr>
        <w:color w:val="3370ff"/>
      </w:rPr>
    </w:lvl>
  </w:abstractNum>
  <w:abstractNum w:abstractNumId="395080">
    <w:lvl>
      <w:numFmt w:val="bullet"/>
      <w:suff w:val="tab"/>
      <w:lvlText w:val="•"/>
      <w:rPr>
        <w:color w:val="3370ff"/>
      </w:rPr>
    </w:lvl>
  </w:abstractNum>
  <w:abstractNum w:abstractNumId="395081">
    <w:lvl>
      <w:numFmt w:val="bullet"/>
      <w:suff w:val="tab"/>
      <w:lvlText w:val="•"/>
      <w:rPr>
        <w:color w:val="3370ff"/>
      </w:rPr>
    </w:lvl>
  </w:abstractNum>
  <w:abstractNum w:abstractNumId="395082">
    <w:lvl>
      <w:numFmt w:val="bullet"/>
      <w:suff w:val="tab"/>
      <w:lvlText w:val="•"/>
      <w:rPr>
        <w:color w:val="3370ff"/>
      </w:rPr>
    </w:lvl>
  </w:abstractNum>
  <w:abstractNum w:abstractNumId="395083">
    <w:lvl>
      <w:numFmt w:val="bullet"/>
      <w:suff w:val="tab"/>
      <w:lvlText w:val="•"/>
      <w:rPr>
        <w:color w:val="3370ff"/>
      </w:rPr>
    </w:lvl>
  </w:abstractNum>
  <w:abstractNum w:abstractNumId="395084">
    <w:lvl>
      <w:numFmt w:val="bullet"/>
      <w:suff w:val="tab"/>
      <w:lvlText w:val="•"/>
      <w:rPr>
        <w:color w:val="3370ff"/>
      </w:rPr>
    </w:lvl>
  </w:abstractNum>
  <w:abstractNum w:abstractNumId="395085">
    <w:lvl>
      <w:numFmt w:val="bullet"/>
      <w:suff w:val="tab"/>
      <w:lvlText w:val="•"/>
      <w:rPr>
        <w:color w:val="3370ff"/>
      </w:rPr>
    </w:lvl>
  </w:abstractNum>
  <w:abstractNum w:abstractNumId="395086">
    <w:lvl>
      <w:numFmt w:val="bullet"/>
      <w:suff w:val="tab"/>
      <w:lvlText w:val="•"/>
      <w:rPr>
        <w:color w:val="3370ff"/>
      </w:rPr>
    </w:lvl>
  </w:abstractNum>
  <w:abstractNum w:abstractNumId="395087">
    <w:lvl>
      <w:start w:val="21"/>
      <w:numFmt w:val="decimal"/>
      <w:suff w:val="tab"/>
      <w:lvlText w:val="%1."/>
      <w:rPr>
        <w:color w:val="3370ff"/>
      </w:rPr>
    </w:lvl>
  </w:abstractNum>
  <w:abstractNum w:abstractNumId="395088">
    <w:lvl>
      <w:start w:val="22"/>
      <w:numFmt w:val="decimal"/>
      <w:suff w:val="tab"/>
      <w:lvlText w:val="%1."/>
      <w:rPr>
        <w:color w:val="3370ff"/>
      </w:rPr>
    </w:lvl>
  </w:abstractNum>
  <w:abstractNum w:abstractNumId="395089">
    <w:lvl>
      <w:numFmt w:val="bullet"/>
      <w:suff w:val="tab"/>
      <w:lvlText w:val="•"/>
      <w:rPr>
        <w:color w:val="3370ff"/>
      </w:rPr>
    </w:lvl>
  </w:abstractNum>
  <w:abstractNum w:abstractNumId="395090">
    <w:lvl>
      <w:numFmt w:val="bullet"/>
      <w:suff w:val="tab"/>
      <w:lvlText w:val="•"/>
      <w:rPr>
        <w:color w:val="3370ff"/>
      </w:rPr>
    </w:lvl>
  </w:abstractNum>
  <w:abstractNum w:abstractNumId="395091">
    <w:lvl>
      <w:numFmt w:val="bullet"/>
      <w:suff w:val="tab"/>
      <w:lvlText w:val="•"/>
      <w:rPr>
        <w:color w:val="3370ff"/>
      </w:rPr>
    </w:lvl>
  </w:abstractNum>
  <w:abstractNum w:abstractNumId="395092">
    <w:lvl>
      <w:numFmt w:val="bullet"/>
      <w:suff w:val="tab"/>
      <w:lvlText w:val="•"/>
      <w:rPr>
        <w:color w:val="3370ff"/>
      </w:rPr>
    </w:lvl>
  </w:abstractNum>
  <w:abstractNum w:abstractNumId="395093">
    <w:lvl>
      <w:numFmt w:val="bullet"/>
      <w:suff w:val="tab"/>
      <w:lvlText w:val="•"/>
      <w:rPr>
        <w:color w:val="3370ff"/>
      </w:rPr>
    </w:lvl>
  </w:abstractNum>
  <w:abstractNum w:abstractNumId="395094">
    <w:lvl>
      <w:numFmt w:val="bullet"/>
      <w:suff w:val="tab"/>
      <w:lvlText w:val="•"/>
      <w:rPr>
        <w:color w:val="3370ff"/>
      </w:rPr>
    </w:lvl>
  </w:abstractNum>
  <w:abstractNum w:abstractNumId="395095">
    <w:lvl>
      <w:numFmt w:val="bullet"/>
      <w:suff w:val="tab"/>
      <w:lvlText w:val="•"/>
      <w:rPr>
        <w:color w:val="3370ff"/>
      </w:rPr>
    </w:lvl>
  </w:abstractNum>
  <w:abstractNum w:abstractNumId="395096">
    <w:lvl>
      <w:numFmt w:val="bullet"/>
      <w:suff w:val="tab"/>
      <w:lvlText w:val="•"/>
      <w:rPr>
        <w:color w:val="3370ff"/>
      </w:rPr>
    </w:lvl>
  </w:abstractNum>
  <w:abstractNum w:abstractNumId="395097">
    <w:lvl>
      <w:numFmt w:val="bullet"/>
      <w:suff w:val="tab"/>
      <w:lvlText w:val="•"/>
      <w:rPr>
        <w:color w:val="3370ff"/>
      </w:rPr>
    </w:lvl>
  </w:abstractNum>
  <w:abstractNum w:abstractNumId="395098">
    <w:lvl>
      <w:numFmt w:val="bullet"/>
      <w:suff w:val="tab"/>
      <w:lvlText w:val="•"/>
      <w:rPr>
        <w:color w:val="3370ff"/>
      </w:rPr>
    </w:lvl>
  </w:abstractNum>
  <w:abstractNum w:abstractNumId="395099">
    <w:lvl>
      <w:numFmt w:val="bullet"/>
      <w:suff w:val="tab"/>
      <w:lvlText w:val="•"/>
      <w:rPr>
        <w:color w:val="3370ff"/>
      </w:rPr>
    </w:lvl>
  </w:abstractNum>
  <w:abstractNum w:abstractNumId="395100">
    <w:lvl>
      <w:numFmt w:val="bullet"/>
      <w:suff w:val="tab"/>
      <w:lvlText w:val="•"/>
      <w:rPr>
        <w:color w:val="3370ff"/>
      </w:rPr>
    </w:lvl>
  </w:abstractNum>
  <w:abstractNum w:abstractNumId="395101">
    <w:lvl>
      <w:numFmt w:val="bullet"/>
      <w:suff w:val="tab"/>
      <w:lvlText w:val="•"/>
      <w:rPr>
        <w:color w:val="3370ff"/>
      </w:rPr>
    </w:lvl>
  </w:abstractNum>
  <w:abstractNum w:abstractNumId="395102">
    <w:lvl>
      <w:numFmt w:val="bullet"/>
      <w:suff w:val="tab"/>
      <w:lvlText w:val="•"/>
      <w:rPr>
        <w:color w:val="3370ff"/>
      </w:rPr>
    </w:lvl>
  </w:abstractNum>
  <w:abstractNum w:abstractNumId="395103">
    <w:lvl>
      <w:numFmt w:val="bullet"/>
      <w:suff w:val="tab"/>
      <w:lvlText w:val="•"/>
      <w:rPr>
        <w:color w:val="3370ff"/>
      </w:rPr>
    </w:lvl>
  </w:abstractNum>
  <w:abstractNum w:abstractNumId="395104">
    <w:lvl>
      <w:numFmt w:val="bullet"/>
      <w:suff w:val="tab"/>
      <w:lvlText w:val="•"/>
      <w:rPr>
        <w:color w:val="3370ff"/>
      </w:rPr>
    </w:lvl>
  </w:abstractNum>
  <w:abstractNum w:abstractNumId="395105">
    <w:lvl>
      <w:numFmt w:val="bullet"/>
      <w:suff w:val="tab"/>
      <w:lvlText w:val="•"/>
      <w:rPr>
        <w:color w:val="3370ff"/>
      </w:rPr>
    </w:lvl>
  </w:abstractNum>
  <w:abstractNum w:abstractNumId="395106">
    <w:lvl>
      <w:numFmt w:val="bullet"/>
      <w:suff w:val="tab"/>
      <w:lvlText w:val="•"/>
      <w:rPr>
        <w:color w:val="3370ff"/>
      </w:rPr>
    </w:lvl>
  </w:abstractNum>
  <w:abstractNum w:abstractNumId="395107">
    <w:lvl>
      <w:numFmt w:val="bullet"/>
      <w:suff w:val="tab"/>
      <w:lvlText w:val="•"/>
      <w:rPr>
        <w:color w:val="3370ff"/>
      </w:rPr>
    </w:lvl>
  </w:abstractNum>
  <w:abstractNum w:abstractNumId="395108">
    <w:lvl>
      <w:numFmt w:val="bullet"/>
      <w:suff w:val="tab"/>
      <w:lvlText w:val="•"/>
      <w:rPr>
        <w:color w:val="3370ff"/>
      </w:rPr>
    </w:lvl>
  </w:abstractNum>
  <w:abstractNum w:abstractNumId="395109">
    <w:lvl>
      <w:numFmt w:val="bullet"/>
      <w:suff w:val="tab"/>
      <w:lvlText w:val="•"/>
      <w:rPr>
        <w:color w:val="3370ff"/>
      </w:rPr>
    </w:lvl>
  </w:abstractNum>
  <w:abstractNum w:abstractNumId="395110">
    <w:lvl>
      <w:numFmt w:val="bullet"/>
      <w:suff w:val="tab"/>
      <w:lvlText w:val="•"/>
      <w:rPr>
        <w:color w:val="3370ff"/>
      </w:rPr>
    </w:lvl>
  </w:abstractNum>
  <w:abstractNum w:abstractNumId="395111">
    <w:lvl>
      <w:numFmt w:val="bullet"/>
      <w:suff w:val="tab"/>
      <w:lvlText w:val="•"/>
      <w:rPr>
        <w:color w:val="3370ff"/>
      </w:rPr>
    </w:lvl>
  </w:abstractNum>
  <w:abstractNum w:abstractNumId="395112">
    <w:lvl>
      <w:numFmt w:val="bullet"/>
      <w:suff w:val="tab"/>
      <w:lvlText w:val="•"/>
      <w:rPr>
        <w:color w:val="3370ff"/>
      </w:rPr>
    </w:lvl>
  </w:abstractNum>
  <w:abstractNum w:abstractNumId="395113">
    <w:lvl>
      <w:numFmt w:val="bullet"/>
      <w:suff w:val="tab"/>
      <w:lvlText w:val="•"/>
      <w:rPr>
        <w:color w:val="3370ff"/>
      </w:rPr>
    </w:lvl>
  </w:abstractNum>
  <w:abstractNum w:abstractNumId="395114">
    <w:lvl>
      <w:numFmt w:val="bullet"/>
      <w:suff w:val="tab"/>
      <w:lvlText w:val="•"/>
      <w:rPr>
        <w:color w:val="3370ff"/>
      </w:rPr>
    </w:lvl>
  </w:abstractNum>
  <w:abstractNum w:abstractNumId="395115">
    <w:lvl>
      <w:numFmt w:val="bullet"/>
      <w:suff w:val="tab"/>
      <w:lvlText w:val="•"/>
      <w:rPr>
        <w:color w:val="3370ff"/>
      </w:rPr>
    </w:lvl>
  </w:abstractNum>
  <w:abstractNum w:abstractNumId="395116">
    <w:lvl>
      <w:numFmt w:val="bullet"/>
      <w:suff w:val="tab"/>
      <w:lvlText w:val="•"/>
      <w:rPr>
        <w:color w:val="3370ff"/>
      </w:rPr>
    </w:lvl>
  </w:abstractNum>
  <w:abstractNum w:abstractNumId="395117">
    <w:lvl>
      <w:numFmt w:val="bullet"/>
      <w:suff w:val="tab"/>
      <w:lvlText w:val="•"/>
      <w:rPr>
        <w:color w:val="3370ff"/>
      </w:rPr>
    </w:lvl>
  </w:abstractNum>
  <w:abstractNum w:abstractNumId="395118">
    <w:lvl>
      <w:start w:val="1"/>
      <w:numFmt w:val="decimal"/>
      <w:suff w:val="tab"/>
      <w:lvlText w:val="%1."/>
      <w:rPr>
        <w:color w:val="3370ff"/>
      </w:rPr>
    </w:lvl>
  </w:abstractNum>
  <w:abstractNum w:abstractNumId="395119">
    <w:lvl>
      <w:start w:val="2"/>
      <w:numFmt w:val="decimal"/>
      <w:suff w:val="tab"/>
      <w:lvlText w:val="%1."/>
      <w:rPr>
        <w:color w:val="3370ff"/>
      </w:rPr>
    </w:lvl>
  </w:abstractNum>
  <w:abstractNum w:abstractNumId="395120">
    <w:lvl>
      <w:start w:val="3"/>
      <w:numFmt w:val="decimal"/>
      <w:suff w:val="tab"/>
      <w:lvlText w:val="%1."/>
      <w:rPr>
        <w:color w:val="3370ff"/>
      </w:rPr>
    </w:lvl>
  </w:abstractNum>
  <w:abstractNum w:abstractNumId="395121">
    <w:lvl>
      <w:start w:val="4"/>
      <w:numFmt w:val="decimal"/>
      <w:suff w:val="tab"/>
      <w:lvlText w:val="%1."/>
      <w:rPr>
        <w:color w:val="3370ff"/>
      </w:rPr>
    </w:lvl>
  </w:abstractNum>
  <w:num w:numId="1">
    <w:abstractNumId w:val="394929"/>
  </w:num>
  <w:num w:numId="2">
    <w:abstractNumId w:val="394930"/>
  </w:num>
  <w:num w:numId="3">
    <w:abstractNumId w:val="394931"/>
  </w:num>
  <w:num w:numId="4">
    <w:abstractNumId w:val="394932"/>
  </w:num>
  <w:num w:numId="5">
    <w:abstractNumId w:val="394933"/>
  </w:num>
  <w:num w:numId="6">
    <w:abstractNumId w:val="394934"/>
  </w:num>
  <w:num w:numId="7">
    <w:abstractNumId w:val="394935"/>
  </w:num>
  <w:num w:numId="8">
    <w:abstractNumId w:val="394936"/>
  </w:num>
  <w:num w:numId="9">
    <w:abstractNumId w:val="394937"/>
  </w:num>
  <w:num w:numId="10">
    <w:abstractNumId w:val="394938"/>
  </w:num>
  <w:num w:numId="11">
    <w:abstractNumId w:val="394939"/>
  </w:num>
  <w:num w:numId="12">
    <w:abstractNumId w:val="394940"/>
  </w:num>
  <w:num w:numId="13">
    <w:abstractNumId w:val="394941"/>
  </w:num>
  <w:num w:numId="14">
    <w:abstractNumId w:val="394942"/>
  </w:num>
  <w:num w:numId="15">
    <w:abstractNumId w:val="394943"/>
  </w:num>
  <w:num w:numId="16">
    <w:abstractNumId w:val="394944"/>
  </w:num>
  <w:num w:numId="17">
    <w:abstractNumId w:val="394945"/>
  </w:num>
  <w:num w:numId="18">
    <w:abstractNumId w:val="394946"/>
  </w:num>
  <w:num w:numId="19">
    <w:abstractNumId w:val="394947"/>
  </w:num>
  <w:num w:numId="20">
    <w:abstractNumId w:val="394948"/>
  </w:num>
  <w:num w:numId="21">
    <w:abstractNumId w:val="394949"/>
  </w:num>
  <w:num w:numId="22">
    <w:abstractNumId w:val="394950"/>
  </w:num>
  <w:num w:numId="23">
    <w:abstractNumId w:val="394951"/>
  </w:num>
  <w:num w:numId="24">
    <w:abstractNumId w:val="394952"/>
  </w:num>
  <w:num w:numId="25">
    <w:abstractNumId w:val="394953"/>
  </w:num>
  <w:num w:numId="26">
    <w:abstractNumId w:val="394954"/>
  </w:num>
  <w:num w:numId="27">
    <w:abstractNumId w:val="394955"/>
  </w:num>
  <w:num w:numId="28">
    <w:abstractNumId w:val="394956"/>
  </w:num>
  <w:num w:numId="29">
    <w:abstractNumId w:val="394957"/>
  </w:num>
  <w:num w:numId="30">
    <w:abstractNumId w:val="394958"/>
  </w:num>
  <w:num w:numId="31">
    <w:abstractNumId w:val="394959"/>
  </w:num>
  <w:num w:numId="32">
    <w:abstractNumId w:val="394960"/>
  </w:num>
  <w:num w:numId="33">
    <w:abstractNumId w:val="394961"/>
  </w:num>
  <w:num w:numId="34">
    <w:abstractNumId w:val="394962"/>
  </w:num>
  <w:num w:numId="35">
    <w:abstractNumId w:val="394963"/>
  </w:num>
  <w:num w:numId="36">
    <w:abstractNumId w:val="394964"/>
  </w:num>
  <w:num w:numId="37">
    <w:abstractNumId w:val="394965"/>
  </w:num>
  <w:num w:numId="38">
    <w:abstractNumId w:val="394966"/>
  </w:num>
  <w:num w:numId="39">
    <w:abstractNumId w:val="394967"/>
  </w:num>
  <w:num w:numId="40">
    <w:abstractNumId w:val="394968"/>
  </w:num>
  <w:num w:numId="41">
    <w:abstractNumId w:val="394969"/>
  </w:num>
  <w:num w:numId="42">
    <w:abstractNumId w:val="394970"/>
  </w:num>
  <w:num w:numId="43">
    <w:abstractNumId w:val="394971"/>
  </w:num>
  <w:num w:numId="44">
    <w:abstractNumId w:val="394972"/>
  </w:num>
  <w:num w:numId="45">
    <w:abstractNumId w:val="394973"/>
  </w:num>
  <w:num w:numId="46">
    <w:abstractNumId w:val="394974"/>
  </w:num>
  <w:num w:numId="47">
    <w:abstractNumId w:val="394975"/>
  </w:num>
  <w:num w:numId="48">
    <w:abstractNumId w:val="394976"/>
  </w:num>
  <w:num w:numId="49">
    <w:abstractNumId w:val="394977"/>
  </w:num>
  <w:num w:numId="50">
    <w:abstractNumId w:val="394978"/>
  </w:num>
  <w:num w:numId="51">
    <w:abstractNumId w:val="394979"/>
  </w:num>
  <w:num w:numId="52">
    <w:abstractNumId w:val="394980"/>
  </w:num>
  <w:num w:numId="53">
    <w:abstractNumId w:val="394981"/>
  </w:num>
  <w:num w:numId="54">
    <w:abstractNumId w:val="394982"/>
  </w:num>
  <w:num w:numId="55">
    <w:abstractNumId w:val="394983"/>
  </w:num>
  <w:num w:numId="56">
    <w:abstractNumId w:val="394984"/>
  </w:num>
  <w:num w:numId="57">
    <w:abstractNumId w:val="394985"/>
  </w:num>
  <w:num w:numId="58">
    <w:abstractNumId w:val="394986"/>
  </w:num>
  <w:num w:numId="59">
    <w:abstractNumId w:val="394987"/>
  </w:num>
  <w:num w:numId="60">
    <w:abstractNumId w:val="394988"/>
  </w:num>
  <w:num w:numId="61">
    <w:abstractNumId w:val="394989"/>
  </w:num>
  <w:num w:numId="62">
    <w:abstractNumId w:val="394990"/>
  </w:num>
  <w:num w:numId="63">
    <w:abstractNumId w:val="394991"/>
  </w:num>
  <w:num w:numId="64">
    <w:abstractNumId w:val="394992"/>
  </w:num>
  <w:num w:numId="65">
    <w:abstractNumId w:val="394993"/>
  </w:num>
  <w:num w:numId="66">
    <w:abstractNumId w:val="394994"/>
  </w:num>
  <w:num w:numId="67">
    <w:abstractNumId w:val="394995"/>
  </w:num>
  <w:num w:numId="68">
    <w:abstractNumId w:val="394996"/>
  </w:num>
  <w:num w:numId="69">
    <w:abstractNumId w:val="394997"/>
  </w:num>
  <w:num w:numId="70">
    <w:abstractNumId w:val="394998"/>
  </w:num>
  <w:num w:numId="71">
    <w:abstractNumId w:val="394999"/>
  </w:num>
  <w:num w:numId="72">
    <w:abstractNumId w:val="395000"/>
  </w:num>
  <w:num w:numId="73">
    <w:abstractNumId w:val="395001"/>
  </w:num>
  <w:num w:numId="74">
    <w:abstractNumId w:val="395002"/>
  </w:num>
  <w:num w:numId="75">
    <w:abstractNumId w:val="395003"/>
  </w:num>
  <w:num w:numId="76">
    <w:abstractNumId w:val="395004"/>
  </w:num>
  <w:num w:numId="77">
    <w:abstractNumId w:val="395005"/>
  </w:num>
  <w:num w:numId="78">
    <w:abstractNumId w:val="395006"/>
  </w:num>
  <w:num w:numId="79">
    <w:abstractNumId w:val="395007"/>
  </w:num>
  <w:num w:numId="80">
    <w:abstractNumId w:val="395008"/>
  </w:num>
  <w:num w:numId="81">
    <w:abstractNumId w:val="395009"/>
  </w:num>
  <w:num w:numId="82">
    <w:abstractNumId w:val="395010"/>
  </w:num>
  <w:num w:numId="83">
    <w:abstractNumId w:val="395011"/>
  </w:num>
  <w:num w:numId="84">
    <w:abstractNumId w:val="395012"/>
  </w:num>
  <w:num w:numId="85">
    <w:abstractNumId w:val="395013"/>
  </w:num>
  <w:num w:numId="86">
    <w:abstractNumId w:val="395014"/>
  </w:num>
  <w:num w:numId="87">
    <w:abstractNumId w:val="395015"/>
  </w:num>
  <w:num w:numId="88">
    <w:abstractNumId w:val="395016"/>
  </w:num>
  <w:num w:numId="89">
    <w:abstractNumId w:val="395017"/>
  </w:num>
  <w:num w:numId="90">
    <w:abstractNumId w:val="395018"/>
  </w:num>
  <w:num w:numId="91">
    <w:abstractNumId w:val="395019"/>
  </w:num>
  <w:num w:numId="92">
    <w:abstractNumId w:val="395020"/>
  </w:num>
  <w:num w:numId="93">
    <w:abstractNumId w:val="395021"/>
  </w:num>
  <w:num w:numId="94">
    <w:abstractNumId w:val="395022"/>
  </w:num>
  <w:num w:numId="95">
    <w:abstractNumId w:val="395023"/>
  </w:num>
  <w:num w:numId="96">
    <w:abstractNumId w:val="395024"/>
  </w:num>
  <w:num w:numId="97">
    <w:abstractNumId w:val="395025"/>
  </w:num>
  <w:num w:numId="98">
    <w:abstractNumId w:val="395026"/>
  </w:num>
  <w:num w:numId="99">
    <w:abstractNumId w:val="395027"/>
  </w:num>
  <w:num w:numId="100">
    <w:abstractNumId w:val="395028"/>
  </w:num>
  <w:num w:numId="101">
    <w:abstractNumId w:val="395029"/>
  </w:num>
  <w:num w:numId="102">
    <w:abstractNumId w:val="395030"/>
  </w:num>
  <w:num w:numId="103">
    <w:abstractNumId w:val="395031"/>
  </w:num>
  <w:num w:numId="104">
    <w:abstractNumId w:val="395032"/>
  </w:num>
  <w:num w:numId="105">
    <w:abstractNumId w:val="395033"/>
  </w:num>
  <w:num w:numId="106">
    <w:abstractNumId w:val="395034"/>
  </w:num>
  <w:num w:numId="107">
    <w:abstractNumId w:val="395035"/>
  </w:num>
  <w:num w:numId="108">
    <w:abstractNumId w:val="395036"/>
  </w:num>
  <w:num w:numId="109">
    <w:abstractNumId w:val="395037"/>
  </w:num>
  <w:num w:numId="110">
    <w:abstractNumId w:val="395038"/>
  </w:num>
  <w:num w:numId="111">
    <w:abstractNumId w:val="395039"/>
  </w:num>
  <w:num w:numId="112">
    <w:abstractNumId w:val="395040"/>
  </w:num>
  <w:num w:numId="113">
    <w:abstractNumId w:val="395041"/>
  </w:num>
  <w:num w:numId="114">
    <w:abstractNumId w:val="395042"/>
  </w:num>
  <w:num w:numId="115">
    <w:abstractNumId w:val="395043"/>
  </w:num>
  <w:num w:numId="116">
    <w:abstractNumId w:val="395044"/>
  </w:num>
  <w:num w:numId="117">
    <w:abstractNumId w:val="395045"/>
  </w:num>
  <w:num w:numId="118">
    <w:abstractNumId w:val="395046"/>
  </w:num>
  <w:num w:numId="119">
    <w:abstractNumId w:val="395047"/>
  </w:num>
  <w:num w:numId="120">
    <w:abstractNumId w:val="395048"/>
  </w:num>
  <w:num w:numId="121">
    <w:abstractNumId w:val="395049"/>
  </w:num>
  <w:num w:numId="122">
    <w:abstractNumId w:val="395050"/>
  </w:num>
  <w:num w:numId="123">
    <w:abstractNumId w:val="395051"/>
  </w:num>
  <w:num w:numId="124">
    <w:abstractNumId w:val="395052"/>
  </w:num>
  <w:num w:numId="125">
    <w:abstractNumId w:val="395053"/>
  </w:num>
  <w:num w:numId="126">
    <w:abstractNumId w:val="395054"/>
  </w:num>
  <w:num w:numId="127">
    <w:abstractNumId w:val="395055"/>
  </w:num>
  <w:num w:numId="128">
    <w:abstractNumId w:val="395056"/>
  </w:num>
  <w:num w:numId="129">
    <w:abstractNumId w:val="395057"/>
  </w:num>
  <w:num w:numId="130">
    <w:abstractNumId w:val="395058"/>
  </w:num>
  <w:num w:numId="131">
    <w:abstractNumId w:val="395059"/>
  </w:num>
  <w:num w:numId="132">
    <w:abstractNumId w:val="395060"/>
  </w:num>
  <w:num w:numId="133">
    <w:abstractNumId w:val="395061"/>
  </w:num>
  <w:num w:numId="134">
    <w:abstractNumId w:val="395062"/>
  </w:num>
  <w:num w:numId="135">
    <w:abstractNumId w:val="395063"/>
  </w:num>
  <w:num w:numId="136">
    <w:abstractNumId w:val="395064"/>
  </w:num>
  <w:num w:numId="137">
    <w:abstractNumId w:val="395065"/>
  </w:num>
  <w:num w:numId="138">
    <w:abstractNumId w:val="395066"/>
  </w:num>
  <w:num w:numId="139">
    <w:abstractNumId w:val="395067"/>
  </w:num>
  <w:num w:numId="140">
    <w:abstractNumId w:val="395068"/>
  </w:num>
  <w:num w:numId="141">
    <w:abstractNumId w:val="395069"/>
  </w:num>
  <w:num w:numId="142">
    <w:abstractNumId w:val="395070"/>
  </w:num>
  <w:num w:numId="143">
    <w:abstractNumId w:val="395071"/>
  </w:num>
  <w:num w:numId="144">
    <w:abstractNumId w:val="395072"/>
  </w:num>
  <w:num w:numId="145">
    <w:abstractNumId w:val="395073"/>
  </w:num>
  <w:num w:numId="146">
    <w:abstractNumId w:val="395074"/>
  </w:num>
  <w:num w:numId="147">
    <w:abstractNumId w:val="395075"/>
  </w:num>
  <w:num w:numId="148">
    <w:abstractNumId w:val="395076"/>
  </w:num>
  <w:num w:numId="149">
    <w:abstractNumId w:val="395077"/>
  </w:num>
  <w:num w:numId="150">
    <w:abstractNumId w:val="395078"/>
  </w:num>
  <w:num w:numId="151">
    <w:abstractNumId w:val="395079"/>
  </w:num>
  <w:num w:numId="152">
    <w:abstractNumId w:val="395080"/>
  </w:num>
  <w:num w:numId="153">
    <w:abstractNumId w:val="395081"/>
  </w:num>
  <w:num w:numId="154">
    <w:abstractNumId w:val="395082"/>
  </w:num>
  <w:num w:numId="155">
    <w:abstractNumId w:val="395083"/>
  </w:num>
  <w:num w:numId="156">
    <w:abstractNumId w:val="395084"/>
  </w:num>
  <w:num w:numId="157">
    <w:abstractNumId w:val="395085"/>
  </w:num>
  <w:num w:numId="158">
    <w:abstractNumId w:val="395086"/>
  </w:num>
  <w:num w:numId="159">
    <w:abstractNumId w:val="395087"/>
  </w:num>
  <w:num w:numId="160">
    <w:abstractNumId w:val="395088"/>
  </w:num>
  <w:num w:numId="161">
    <w:abstractNumId w:val="395089"/>
  </w:num>
  <w:num w:numId="162">
    <w:abstractNumId w:val="395090"/>
  </w:num>
  <w:num w:numId="163">
    <w:abstractNumId w:val="395091"/>
  </w:num>
  <w:num w:numId="164">
    <w:abstractNumId w:val="395092"/>
  </w:num>
  <w:num w:numId="165">
    <w:abstractNumId w:val="395093"/>
  </w:num>
  <w:num w:numId="166">
    <w:abstractNumId w:val="395094"/>
  </w:num>
  <w:num w:numId="167">
    <w:abstractNumId w:val="395095"/>
  </w:num>
  <w:num w:numId="168">
    <w:abstractNumId w:val="395096"/>
  </w:num>
  <w:num w:numId="169">
    <w:abstractNumId w:val="395097"/>
  </w:num>
  <w:num w:numId="170">
    <w:abstractNumId w:val="395098"/>
  </w:num>
  <w:num w:numId="171">
    <w:abstractNumId w:val="395099"/>
  </w:num>
  <w:num w:numId="172">
    <w:abstractNumId w:val="395100"/>
  </w:num>
  <w:num w:numId="173">
    <w:abstractNumId w:val="395101"/>
  </w:num>
  <w:num w:numId="174">
    <w:abstractNumId w:val="395102"/>
  </w:num>
  <w:num w:numId="175">
    <w:abstractNumId w:val="395103"/>
  </w:num>
  <w:num w:numId="176">
    <w:abstractNumId w:val="395104"/>
  </w:num>
  <w:num w:numId="177">
    <w:abstractNumId w:val="395105"/>
  </w:num>
  <w:num w:numId="178">
    <w:abstractNumId w:val="395106"/>
  </w:num>
  <w:num w:numId="179">
    <w:abstractNumId w:val="395107"/>
  </w:num>
  <w:num w:numId="180">
    <w:abstractNumId w:val="395108"/>
  </w:num>
  <w:num w:numId="181">
    <w:abstractNumId w:val="395109"/>
  </w:num>
  <w:num w:numId="182">
    <w:abstractNumId w:val="395110"/>
  </w:num>
  <w:num w:numId="183">
    <w:abstractNumId w:val="395111"/>
  </w:num>
  <w:num w:numId="184">
    <w:abstractNumId w:val="395112"/>
  </w:num>
  <w:num w:numId="185">
    <w:abstractNumId w:val="395113"/>
  </w:num>
  <w:num w:numId="186">
    <w:abstractNumId w:val="395114"/>
  </w:num>
  <w:num w:numId="187">
    <w:abstractNumId w:val="395115"/>
  </w:num>
  <w:num w:numId="188">
    <w:abstractNumId w:val="395116"/>
  </w:num>
  <w:num w:numId="189">
    <w:abstractNumId w:val="395117"/>
  </w:num>
  <w:num w:numId="190">
    <w:abstractNumId w:val="395118"/>
  </w:num>
  <w:num w:numId="191">
    <w:abstractNumId w:val="395119"/>
  </w:num>
  <w:num w:numId="192">
    <w:abstractNumId w:val="395120"/>
  </w:num>
  <w:num w:numId="193">
    <w:abstractNumId w:val="39512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embeddings/Microsoft_Excel_Worksheet7.xlsx" Type="http://schemas.openxmlformats.org/officeDocument/2006/relationships/package"/><Relationship Id="rId18" Target="media/image7.png" Type="http://schemas.openxmlformats.org/officeDocument/2006/relationships/image"/><Relationship Id="rId19" Target="embeddings/Microsoft_Excel_Worksheet8.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1" Target="embeddings/Microsoft_Excel_Worksheet9.xlsx" Type="http://schemas.openxmlformats.org/officeDocument/2006/relationships/package"/><Relationship Id="rId22" Target="media/image9.png" Type="http://schemas.openxmlformats.org/officeDocument/2006/relationships/image"/><Relationship Id="rId23" Target="embeddings/Microsoft_Excel_Worksheet10.xlsx" Type="http://schemas.openxmlformats.org/officeDocument/2006/relationships/package"/><Relationship Id="rId24" Target="media/image10.png" Type="http://schemas.openxmlformats.org/officeDocument/2006/relationships/image"/><Relationship Id="rId25"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2026-08-06T18:11:54Z</dcterms:created>
  <dc:creator>Apache POI</dc:creator>
</cp:coreProperties>
</file>