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GST Fine Foods — Scope Lock v2</w:t>
      </w:r>
    </w:p>
    <w:p>
      <w:pPr>
        <w:spacing w:before="120" w:after="120" w:line="288" w:lineRule="auto"/>
        <w:ind w:left="0"/>
        <w:jc w:val="left"/>
      </w:pPr>
      <w:r>
        <w:rPr>
          <w:rFonts w:eastAsia="等线" w:ascii="Arial" w:cs="Arial" w:hAnsi="Arial"/>
          <w:b w:val="true"/>
          <w:sz w:val="22"/>
        </w:rPr>
        <w:t>Date:</w:t>
      </w:r>
      <w:r>
        <w:rPr>
          <w:rFonts w:eastAsia="等线" w:ascii="Arial" w:cs="Arial" w:hAnsi="Arial"/>
          <w:sz w:val="22"/>
        </w:rPr>
        <w:t xml:space="preserve"> 2026-07-22</w:t>
        <w:br/>
      </w:r>
      <w:r>
        <w:rPr>
          <w:rFonts w:eastAsia="等线" w:ascii="Arial" w:cs="Arial" w:hAnsi="Arial"/>
          <w:b w:val="true"/>
          <w:sz w:val="22"/>
        </w:rPr>
        <w:t>Build stage:</w:t>
      </w:r>
      <w:r>
        <w:rPr>
          <w:rFonts w:eastAsia="等线" w:ascii="Arial" w:cs="Arial" w:hAnsi="Arial"/>
          <w:sz w:val="22"/>
        </w:rPr>
        <w:t xml:space="preserve"> In-build. Backward plan: M0 (Requirements &amp; Scope Lock) closed 2026-06-29; M1/M2 in progress since 2026-07-10; M3 (Internal QA) runs through 2026-07-31; UAT planned 2026-08-04–06 </w:t>
      </w:r>
      <w:r>
        <w:rPr>
          <w:rFonts w:eastAsia="Consolas" w:ascii="Consolas" w:cs="Consolas" w:hAnsi="Consolas"/>
          <w:sz w:val="22"/>
          <w:shd w:fill="EFF0F1"/>
        </w:rPr>
        <w:t>[BP | 2026-07-07]</w:t>
      </w:r>
      <w:r>
        <w:rPr>
          <w:rFonts w:eastAsia="等线" w:ascii="Arial" w:cs="Arial" w:hAnsi="Arial"/>
          <w:sz w:val="22"/>
        </w:rPr>
        <w:t>.</w:t>
        <w:br/>
      </w:r>
      <w:r>
        <w:rPr>
          <w:rFonts w:eastAsia="等线" w:ascii="Arial" w:cs="Arial" w:hAnsi="Arial"/>
          <w:b w:val="true"/>
          <w:sz w:val="22"/>
        </w:rPr>
        <w:t>Supersedes:Scope Lock v1.2</w:t>
      </w:r>
      <w:r>
        <w:rPr>
          <w:rFonts w:eastAsia="等线" w:ascii="Arial" w:cs="Arial" w:hAnsi="Arial"/>
          <w:sz w:val="22"/>
        </w:rPr>
        <w:t xml:space="preserve"> (Lark, dated 2026-06-23, node </w:t>
      </w:r>
      <w:r>
        <w:rPr>
          <w:rFonts w:eastAsia="Consolas" w:ascii="Consolas" w:cs="Consolas" w:hAnsi="Consolas"/>
          <w:sz w:val="22"/>
          <w:shd w:fill="EFF0F1"/>
        </w:rPr>
        <w:t>TYNQwno6ai7bSDktYAelAjhSg0d</w:t>
      </w:r>
      <w:r>
        <w:rPr>
          <w:rFonts w:eastAsia="等线" w:ascii="Arial" w:cs="Arial" w:hAnsi="Arial"/>
          <w:sz w:val="22"/>
        </w:rPr>
        <w:t xml:space="preserve">) — no markdown mirror of this document existed in the KB before now. This v2 was drafted before that discovery and has been rewritten to reconcile against it, per the "Rerunning an existing Scope Lock" protocol: v1.2's resolved positions are preserved and re-cited, not re-litigated; only genuinely new evidence (mined from sources v1.2 didn't have — the 2026-05 Requirement Gathering Output, the 2026-07-07 Backward Plan, the 7 May delivery-tracker CSV, and the 2026-06-22 Forensic Account Dossier) changes anything. </w:t>
      </w:r>
      <w:r>
        <w:rPr>
          <w:rFonts w:eastAsia="等线" w:ascii="Arial" w:cs="Arial" w:hAnsi="Arial"/>
          <w:b w:val="true"/>
          <w:sz w:val="22"/>
        </w:rPr>
        <w:t>v1.2's own id namespace (</w:t>
      </w:r>
      <w:r>
        <w:rPr>
          <w:rFonts w:eastAsia="Consolas" w:ascii="Consolas" w:cs="Consolas" w:hAnsi="Consolas"/>
          <w:b w:val="true"/>
          <w:sz w:val="22"/>
          <w:shd w:fill="EFF0F1"/>
        </w:rPr>
        <w:t>LOC-N</w:t>
      </w:r>
      <w:r>
        <w:rPr>
          <w:rFonts w:eastAsia="等线" w:ascii="Arial" w:cs="Arial" w:hAnsi="Arial"/>
          <w:b w:val="true"/>
          <w:sz w:val="22"/>
        </w:rPr>
        <w:t xml:space="preserve">, </w:t>
      </w:r>
      <w:r>
        <w:rPr>
          <w:rFonts w:eastAsia="Consolas" w:ascii="Consolas" w:cs="Consolas" w:hAnsi="Consolas"/>
          <w:b w:val="true"/>
          <w:sz w:val="22"/>
          <w:shd w:fill="EFF0F1"/>
        </w:rPr>
        <w:t>SL-N</w:t>
      </w:r>
      <w:r>
        <w:rPr>
          <w:rFonts w:eastAsia="等线" w:ascii="Arial" w:cs="Arial" w:hAnsi="Arial"/>
          <w:b w:val="true"/>
          <w:sz w:val="22"/>
        </w:rPr>
        <w:t xml:space="preserve">, </w:t>
      </w:r>
      <w:r>
        <w:rPr>
          <w:rFonts w:eastAsia="Consolas" w:ascii="Consolas" w:cs="Consolas" w:hAnsi="Consolas"/>
          <w:b w:val="true"/>
          <w:sz w:val="22"/>
          <w:shd w:fill="EFF0F1"/>
        </w:rPr>
        <w:t>NSD-N</w:t>
      </w:r>
      <w:r>
        <w:rPr>
          <w:rFonts w:eastAsia="等线" w:ascii="Arial" w:cs="Arial" w:hAnsi="Arial"/>
          <w:b w:val="true"/>
          <w:sz w:val="22"/>
        </w:rPr>
        <w:t xml:space="preserve">, </w:t>
      </w:r>
      <w:r>
        <w:rPr>
          <w:rFonts w:eastAsia="Consolas" w:ascii="Consolas" w:cs="Consolas" w:hAnsi="Consolas"/>
          <w:b w:val="true"/>
          <w:sz w:val="22"/>
          <w:shd w:fill="EFF0F1"/>
        </w:rPr>
        <w:t>R-N</w:t>
      </w:r>
      <w:r>
        <w:rPr>
          <w:rFonts w:eastAsia="等线" w:ascii="Arial" w:cs="Arial" w:hAnsi="Arial"/>
          <w:b w:val="true"/>
          <w:sz w:val="22"/>
        </w:rPr>
        <w:t xml:space="preserve">, </w:t>
      </w:r>
      <w:r>
        <w:rPr>
          <w:rFonts w:eastAsia="Consolas" w:ascii="Consolas" w:cs="Consolas" w:hAnsi="Consolas"/>
          <w:b w:val="true"/>
          <w:sz w:val="22"/>
          <w:shd w:fill="EFF0F1"/>
        </w:rPr>
        <w:t>SUP-N</w:t>
      </w:r>
      <w:r>
        <w:rPr>
          <w:rFonts w:eastAsia="等线" w:ascii="Arial" w:cs="Arial" w:hAnsi="Arial"/>
          <w:b w:val="true"/>
          <w:sz w:val="22"/>
        </w:rPr>
        <w:t xml:space="preserve">, </w:t>
      </w:r>
      <w:r>
        <w:rPr>
          <w:rFonts w:eastAsia="Consolas" w:ascii="Consolas" w:cs="Consolas" w:hAnsi="Consolas"/>
          <w:b w:val="true"/>
          <w:sz w:val="22"/>
          <w:shd w:fill="EFF0F1"/>
        </w:rPr>
        <w:t>OOS-N</w:t>
      </w:r>
      <w:r>
        <w:rPr>
          <w:rFonts w:eastAsia="等线" w:ascii="Arial" w:cs="Arial" w:hAnsi="Arial"/>
          <w:b w:val="true"/>
          <w:sz w:val="22"/>
        </w:rPr>
        <w:t>) is preserved and continued</w:t>
      </w:r>
      <w:r>
        <w:rPr>
          <w:rFonts w:eastAsia="等线" w:ascii="Arial" w:cs="Arial" w:hAnsi="Arial"/>
          <w:sz w:val="22"/>
        </w:rPr>
        <w:t xml:space="preserve"> — this v2 does not renumber.</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0. Changelog Since v1.2</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2205"/>
        <w:gridCol w:w="1680"/>
        <w:gridCol w:w="2580"/>
      </w:tblGrid>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v1.2 status</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 status</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changed</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LOC-03 (Penang-first)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LOCKED, </w:t>
            </w:r>
            <w:r>
              <w:rPr>
                <w:rFonts w:eastAsia="等线" w:ascii="Arial" w:cs="Arial" w:hAnsi="Arial"/>
                <w:b w:val="true"/>
                <w:sz w:val="22"/>
              </w:rPr>
              <w:t>flagged stale</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2026-07-07 Backward Plan still lists "confirm which branch goes live first" as an unchecked open item — three weeks after this was supposedly locked. See SC-07 (new).</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SL-02 (RAG item suggestion)</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 INTERNAL BUILD SCOPE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LOCKED, </w:t>
            </w:r>
            <w:r>
              <w:rPr>
                <w:rFonts w:eastAsia="等线" w:ascii="Arial" w:cs="Arial" w:hAnsi="Arial"/>
                <w:b w:val="true"/>
                <w:sz w:val="22"/>
              </w:rPr>
              <w:t>reconciled against internal tracker conflict</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7 May delivery-tracker CSV marks "cRFQ / Quotation" module config as "Out of Scope" — this is now understood to be the CSV using different terminology for the same or an adjacent decision, not a live contradiction. See SC-01 addendum.</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 (Blanket Order/Agreement)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 INTERNAL BUILD SCOPE, NSD-02 open</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unchanged</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Confirmed this is the same item as the Backward Plan's "Blanket Order" customisation (In Progress, 24–28 Jul) — </w:t>
            </w:r>
            <w:r>
              <w:rPr>
                <w:rFonts w:eastAsia="等线" w:ascii="Arial" w:cs="Arial" w:hAnsi="Arial"/>
                <w:b w:val="true"/>
                <w:sz w:val="22"/>
              </w:rPr>
              <w:t>not</w:t>
            </w:r>
            <w:r>
              <w:rPr>
                <w:rFonts w:eastAsia="等线" w:ascii="Arial" w:cs="Arial" w:hAnsi="Arial"/>
                <w:sz w:val="22"/>
              </w:rPr>
              <w:t xml:space="preserve"> the same as CPRN (which stays OOS-01). Clarifying this to prevent future confusion — earlier drafting of this Scope Lock conflated the two.</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SUP-01 / OOS-01 (CPRN)</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unchanged</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SUP-02 / OOS-02 (stock transformation)</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MAIA syncs post-transformation inventory only</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unchanged</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Confirmed. Superseded the draft this v2 started from, which had incorrectly marked stock-transformation </w:t>
            </w:r>
            <w:r>
              <w:rPr>
                <w:rFonts w:eastAsia="等线" w:ascii="Arial" w:cs="Arial" w:hAnsi="Arial"/>
                <w:i w:val="true"/>
                <w:sz w:val="22"/>
              </w:rPr>
              <w:t>sync depth</w:t>
            </w:r>
            <w:r>
              <w:rPr>
                <w:rFonts w:eastAsia="等线" w:ascii="Arial" w:cs="Arial" w:hAnsi="Arial"/>
                <w:sz w:val="22"/>
              </w:rPr>
              <w:t xml:space="preserve"> as a locked build requirement based on SOW §2.4 wording alone.</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present</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NSD-05 (new)</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check-in / customer-visit-location reporting — Soo Chin asked for it 2026-05-07/08; Ivan said MAIA doesn't currently have it; never formally answered as in/out/CR. Surfaced by the Forensic Account Dossier.</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present</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SUP-05 (new)</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Three Phase-2-adjacent items (SOA portal build, Aging/slow-stock reports, "Item Name Override") are showing "In Progress" in the July 2026 backward plan — during the Phase 1 build window, ahead of Phase 1 UAT. This postdates v1.2 and is new risk, not previously assessed.</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present</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SC-07 (new)</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Branch decision (LOC-03) marked LOCKED in June, shown open again in July's backward plan — internal document staleness or a genuinely reopened question; unresolved which.</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present</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NSD-06 (new)</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source-of-truth for Phase 1 rule checks (SAP live / daily extract / hybrid) — distinct from NSD-04 (sync cadence); not resolved by v1.2, still open per Backward Plan.</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present</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SL-13 (new)</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Consolidated pick list — warehouse team-split, actual picked-qty capture, DN creation. Not in v1.2 at all; surfaced by a full pass through the Fireflies raw transcript and the Implementation Plan narrative. Team-split already built; actual-qty capture and multi-SO DN split still open (NSD-07, NSD-08).</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present</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NSD-07 / NSD-08 (new)</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Two sub-gaps under SL-13: low-stock exception on actual-picked-qty capture, and DN resolution when a pick list spans multiple SOs. Neither blocking for MVP, both needed before UAT sign-off on SL-13.</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present</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SL-14 through SL-19 (new)</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description/name override, customer preference capture, DO/Invoice shared numbering, credit note/return matching, role-based dashboards, and out-of-stock substitution advisory — all surfaced by a full read of Ivan's 2026-05-04 RG Complete Notes doc, none previously in v1.2 or this Scope Lock. Paired NSD-09 through NSD-12 cover the undefined mechanics under each.</w:t>
            </w:r>
          </w:p>
        </w:tc>
      </w:tr>
      <w:tr>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present</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SUP-05 correction</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Name Override has no scope trace" was wrong — Ivan's RG notes document it directly. Now tracked as SL-14. Remaining risk on SUP-05 is sequencing only, not provenance.</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1. Source Manifest</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55"/>
        <w:gridCol w:w="2655"/>
        <w:gridCol w:w="1605"/>
        <w:gridCol w:w="1365"/>
      </w:tblGrid>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Citation key</w:t>
            </w: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Scope Lock v1.2</w:t>
            </w:r>
            <w:r>
              <w:rPr>
                <w:rFonts w:eastAsia="等线" w:ascii="Arial" w:cs="Arial" w:hAnsi="Arial"/>
                <w:sz w:val="22"/>
              </w:rPr>
              <w:t xml:space="preserve"> (Lark)</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 version of this document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2026-06-23</w:t>
            </w:r>
          </w:p>
        </w:tc>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[SL-v1.2]</w:t>
            </w: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Forensic Account Dossier</w:t>
            </w:r>
            <w:r>
              <w:rPr>
                <w:rFonts w:eastAsia="等线" w:ascii="Arial" w:cs="Arial" w:hAnsi="Arial"/>
                <w:sz w:val="22"/>
              </w:rPr>
              <w:t xml:space="preserve"> (Lark)</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cross-source synthesis</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2026-06-22</w:t>
            </w:r>
          </w:p>
        </w:tc>
        <w:tc>
          <w:tcPr>
            <w:tcW w:w="136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[DOSSIER]</w:t>
            </w: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 for MAIA GST Fine Foods.md</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Contractual draft (unsigned in KB copy)</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last_reviewed 2026-05-20</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w:t>
            </w: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Fine Foods × MAIA Proposal v2 [SIGNED].md</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Signed proposal</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2026-03-12</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w:t>
            </w: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Fine Foods Customer Narrative.md</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Client-facing narrative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`[CN</w:t>
            </w: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Requirement Gathering Output - GST Fine Foods - 2026-05.md</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PM synthesis of 2026-05-04 RG session</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2026-05-04</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w:t>
            </w: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Fine Foods — GTM Brief Context and Unclear Items.md</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Synthesis of 2026-04-27 GTM brief</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2026-04-27</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`[GTM</w:t>
            </w: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SAP Vendor × Mindhive — Meeting Notes.md</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notes, GST IT present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2026-05-19</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`[SAPV</w:t>
            </w: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7May26 - GST X MAIA Gaps - Sheet1.csv</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delivery tracker</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 of 2026-05-07</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`[CSV</w:t>
            </w: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Timeline/GST Phase 1 Backward Plan.md</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delivery plan</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last_reviewed 2026-07-07</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`[BP</w:t>
            </w: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Lark Wiki/GST WhatsApp Group.md</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export, GST-side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from 2026-04-13</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w:t>
            </w: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raw transcripts (2026-05-04, both recordings)</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 RG session transcripts</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2026-05-04</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`[FF</w:t>
            </w:r>
          </w:p>
        </w:tc>
      </w:tr>
    </w:tbl>
    <w:p>
      <w:pPr>
        <w:spacing w:before="120" w:after="120" w:line="288" w:lineRule="auto"/>
        <w:ind w:left="0"/>
        <w:jc w:val="left"/>
      </w:pPr>
      <w:r>
        <w:rPr>
          <w:rFonts w:eastAsia="等线" w:ascii="Arial" w:cs="Arial" w:hAnsi="Arial"/>
          <w:sz w:val="22"/>
        </w:rPr>
        <w:t>v1.2's own citation keys (</w:t>
      </w:r>
      <w:r>
        <w:rPr>
          <w:rFonts w:eastAsia="Consolas" w:ascii="Consolas" w:cs="Consolas" w:hAnsi="Consolas"/>
          <w:sz w:val="22"/>
          <w:shd w:fill="EFF0F1"/>
        </w:rPr>
        <w:t>[FF-RG-A]</w:t>
      </w:r>
      <w:r>
        <w:rPr>
          <w:rFonts w:eastAsia="等线" w:ascii="Arial" w:cs="Arial" w:hAnsi="Arial"/>
          <w:sz w:val="22"/>
        </w:rPr>
        <w:t xml:space="preserve">, </w:t>
      </w:r>
      <w:r>
        <w:rPr>
          <w:rFonts w:eastAsia="Consolas" w:ascii="Consolas" w:cs="Consolas" w:hAnsi="Consolas"/>
          <w:sz w:val="22"/>
          <w:shd w:fill="EFF0F1"/>
        </w:rPr>
        <w:t>[FF-PROP]</w:t>
      </w:r>
      <w:r>
        <w:rPr>
          <w:rFonts w:eastAsia="等线" w:ascii="Arial" w:cs="Arial" w:hAnsi="Arial"/>
          <w:sz w:val="22"/>
        </w:rPr>
        <w:t xml:space="preserve">, </w:t>
      </w:r>
      <w:r>
        <w:rPr>
          <w:rFonts w:eastAsia="Consolas" w:ascii="Consolas" w:cs="Consolas" w:hAnsi="Consolas"/>
          <w:sz w:val="22"/>
          <w:shd w:fill="EFF0F1"/>
        </w:rPr>
        <w:t>[SAP-VENDOR]</w:t>
      </w:r>
      <w:r>
        <w:rPr>
          <w:rFonts w:eastAsia="等线" w:ascii="Arial" w:cs="Arial" w:hAnsi="Arial"/>
          <w:sz w:val="22"/>
        </w:rPr>
        <w:t xml:space="preserve">, </w:t>
      </w:r>
      <w:r>
        <w:rPr>
          <w:rFonts w:eastAsia="Consolas" w:ascii="Consolas" w:cs="Consolas" w:hAnsi="Consolas"/>
          <w:sz w:val="22"/>
          <w:shd w:fill="EFF0F1"/>
        </w:rPr>
        <w:t>[WA]</w:t>
      </w:r>
      <w:r>
        <w:rPr>
          <w:rFonts w:eastAsia="等线" w:ascii="Arial" w:cs="Arial" w:hAnsi="Arial"/>
          <w:sz w:val="22"/>
        </w:rPr>
        <w:t xml:space="preserve">, </w:t>
      </w:r>
      <w:r>
        <w:rPr>
          <w:rFonts w:eastAsia="Consolas" w:ascii="Consolas" w:cs="Consolas" w:hAnsi="Consolas"/>
          <w:sz w:val="22"/>
          <w:shd w:fill="EFF0F1"/>
        </w:rPr>
        <w:t>[Q]</w:t>
      </w:r>
      <w:r>
        <w:rPr>
          <w:rFonts w:eastAsia="等线" w:ascii="Arial" w:cs="Arial" w:hAnsi="Arial"/>
          <w:sz w:val="22"/>
        </w:rPr>
        <w:t xml:space="preserve">, </w:t>
      </w:r>
      <w:r>
        <w:rPr>
          <w:rFonts w:eastAsia="Consolas" w:ascii="Consolas" w:cs="Consolas" w:hAnsi="Consolas"/>
          <w:sz w:val="22"/>
          <w:shd w:fill="EFF0F1"/>
        </w:rPr>
        <w:t>[RG-NOTES]</w:t>
      </w:r>
      <w:r>
        <w:rPr>
          <w:rFonts w:eastAsia="等线" w:ascii="Arial" w:cs="Arial" w:hAnsi="Arial"/>
          <w:sz w:val="22"/>
        </w:rPr>
        <w:t>) are preserved as-is inside carried-forward items below, since re-deriving them against the raw Fireflies transcript risks losing v1.2's original provenance.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2. Scope Lock Summary (Dashboard)</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260"/>
        <w:gridCol w:w="4020"/>
      </w:tblGrid>
      <w:tr>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4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w:t>
            </w:r>
          </w:p>
        </w:tc>
      </w:tr>
      <w:tr>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LOCKED (operating constraints, </w:t>
            </w:r>
            <w:r>
              <w:rPr>
                <w:rFonts w:eastAsia="Consolas" w:ascii="Consolas" w:cs="Consolas" w:hAnsi="Consolas"/>
                <w:sz w:val="22"/>
                <w:shd w:fill="EFF0F1"/>
              </w:rPr>
              <w:t>LOC</w:t>
            </w:r>
            <w:r>
              <w:rPr>
                <w:rFonts w:eastAsia="等线" w:ascii="Arial" w:cs="Arial" w:hAnsi="Arial"/>
                <w:sz w:val="22"/>
              </w:rPr>
              <w:t>)</w:t>
            </w:r>
          </w:p>
        </w:tc>
        <w:tc>
          <w:tcPr>
            <w:tcW w:w="4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r>
      <w:tr>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LOCKED (build scope, </w:t>
            </w:r>
            <w:r>
              <w:rPr>
                <w:rFonts w:eastAsia="Consolas" w:ascii="Consolas" w:cs="Consolas" w:hAnsi="Consolas"/>
                <w:sz w:val="22"/>
                <w:shd w:fill="EFF0F1"/>
              </w:rPr>
              <w:t>SL</w:t>
            </w:r>
            <w:r>
              <w:rPr>
                <w:rFonts w:eastAsia="等线" w:ascii="Arial" w:cs="Arial" w:hAnsi="Arial"/>
                <w:sz w:val="22"/>
              </w:rPr>
              <w:t>)</w:t>
            </w:r>
          </w:p>
        </w:tc>
        <w:tc>
          <w:tcPr>
            <w:tcW w:w="4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 (12 carried, 7 new)</w:t>
            </w:r>
          </w:p>
        </w:tc>
      </w:tr>
      <w:tr>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 (</w:t>
            </w:r>
            <w:r>
              <w:rPr>
                <w:rFonts w:eastAsia="Consolas" w:ascii="Consolas" w:cs="Consolas" w:hAnsi="Consolas"/>
                <w:sz w:val="22"/>
                <w:shd w:fill="EFF0F1"/>
              </w:rPr>
              <w:t>NSD</w:t>
            </w:r>
            <w:r>
              <w:rPr>
                <w:rFonts w:eastAsia="等线" w:ascii="Arial" w:cs="Arial" w:hAnsi="Arial"/>
                <w:sz w:val="22"/>
              </w:rPr>
              <w:t>)</w:t>
            </w:r>
          </w:p>
        </w:tc>
        <w:tc>
          <w:tcPr>
            <w:tcW w:w="4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(4 carried from v1.2, 8 new)</w:t>
            </w:r>
          </w:p>
        </w:tc>
      </w:tr>
      <w:tr>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 / non-blocking (</w:t>
            </w:r>
            <w:r>
              <w:rPr>
                <w:rFonts w:eastAsia="Consolas" w:ascii="Consolas" w:cs="Consolas" w:hAnsi="Consolas"/>
                <w:sz w:val="22"/>
                <w:shd w:fill="EFF0F1"/>
              </w:rPr>
              <w:t>R</w:t>
            </w:r>
            <w:r>
              <w:rPr>
                <w:rFonts w:eastAsia="等线" w:ascii="Arial" w:cs="Arial" w:hAnsi="Arial"/>
                <w:sz w:val="22"/>
              </w:rPr>
              <w:t>)</w:t>
            </w:r>
          </w:p>
        </w:tc>
        <w:tc>
          <w:tcPr>
            <w:tcW w:w="4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r>
      <w:tr>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SUPERSEDED (</w:t>
            </w:r>
            <w:r>
              <w:rPr>
                <w:rFonts w:eastAsia="Consolas" w:ascii="Consolas" w:cs="Consolas" w:hAnsi="Consolas"/>
                <w:sz w:val="22"/>
                <w:shd w:fill="EFF0F1"/>
              </w:rPr>
              <w:t>SUP</w:t>
            </w:r>
            <w:r>
              <w:rPr>
                <w:rFonts w:eastAsia="等线" w:ascii="Arial" w:cs="Arial" w:hAnsi="Arial"/>
                <w:sz w:val="22"/>
              </w:rPr>
              <w:t>)</w:t>
            </w:r>
          </w:p>
        </w:tc>
        <w:tc>
          <w:tcPr>
            <w:tcW w:w="4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(4 carried, 1 new)</w:t>
            </w:r>
          </w:p>
        </w:tc>
      </w:tr>
      <w:tr>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w:t>
            </w:r>
            <w:r>
              <w:rPr>
                <w:rFonts w:eastAsia="Consolas" w:ascii="Consolas" w:cs="Consolas" w:hAnsi="Consolas"/>
                <w:sz w:val="22"/>
                <w:shd w:fill="EFF0F1"/>
              </w:rPr>
              <w:t>OOS</w:t>
            </w:r>
            <w:r>
              <w:rPr>
                <w:rFonts w:eastAsia="等线" w:ascii="Arial" w:cs="Arial" w:hAnsi="Arial"/>
                <w:sz w:val="22"/>
              </w:rPr>
              <w:t>)</w:t>
            </w:r>
          </w:p>
        </w:tc>
        <w:tc>
          <w:tcPr>
            <w:tcW w:w="4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r>
      <w:tr>
        <w:tc>
          <w:tcPr>
            <w:tcW w:w="4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conflicts (</w:t>
            </w:r>
            <w:r>
              <w:rPr>
                <w:rFonts w:eastAsia="Consolas" w:ascii="Consolas" w:cs="Consolas" w:hAnsi="Consolas"/>
                <w:sz w:val="22"/>
                <w:shd w:fill="EFF0F1"/>
              </w:rPr>
              <w:t>SC</w:t>
            </w:r>
            <w:r>
              <w:rPr>
                <w:rFonts w:eastAsia="等线" w:ascii="Arial" w:cs="Arial" w:hAnsi="Arial"/>
                <w:sz w:val="22"/>
              </w:rPr>
              <w:t>)</w:t>
            </w:r>
          </w:p>
        </w:tc>
        <w:tc>
          <w:tcPr>
            <w:tcW w:w="4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 (6 carried, 1 new)</w:t>
            </w:r>
          </w:p>
        </w:tc>
      </w:tr>
    </w:tbl>
    <w:p>
      <w:pPr>
        <w:pStyle w:val="3"/>
        <w:spacing w:before="300" w:after="120" w:line="288" w:lineRule="auto"/>
        <w:ind w:left="0"/>
        <w:jc w:val="left"/>
        <w:outlineLvl w:val="2"/>
      </w:pPr>
      <w:bookmarkStart w:name="heading_3" w:id="3"/>
      <w:r>
        <w:rPr>
          <w:rFonts w:eastAsia="等线" w:ascii="Arial" w:cs="Arial" w:hAnsi="Arial"/>
          <w:b w:val="true"/>
          <w:sz w:val="30"/>
        </w:rPr>
        <w:t>🔴 Blocking items</w:t>
      </w:r>
      <w:bookmarkEnd w:id="3"/>
    </w:p>
    <w:p>
      <w:pPr>
        <w:numPr>
          <w:numId w:val="1"/>
        </w:numPr>
        <w:spacing w:before="120" w:after="120" w:line="288" w:lineRule="auto"/>
        <w:ind w:left="0"/>
        <w:jc w:val="left"/>
      </w:pPr>
      <w:r>
        <w:rPr>
          <w:rFonts w:eastAsia="等线" w:ascii="Arial" w:cs="Arial" w:hAnsi="Arial"/>
          <w:b w:val="true"/>
          <w:sz w:val="22"/>
        </w:rPr>
        <w:t>NSD-06 (new) — Stock source of truth</w:t>
      </w:r>
      <w:r>
        <w:rPr>
          <w:rFonts w:eastAsia="等线" w:ascii="Arial" w:cs="Arial" w:hAnsi="Arial"/>
          <w:sz w:val="22"/>
        </w:rPr>
        <w:t xml:space="preserve"> (SAP live / daily extract / hybrid). Not resolved by v1.2. SOW frames this as a pre-build gate </w:t>
      </w:r>
      <w:r>
        <w:rPr>
          <w:rFonts w:eastAsia="Consolas" w:ascii="Consolas" w:cs="Consolas" w:hAnsi="Consolas"/>
          <w:sz w:val="22"/>
          <w:shd w:fill="EFF0F1"/>
        </w:rPr>
        <w:t>[SOW | §6]</w:t>
      </w:r>
      <w:r>
        <w:rPr>
          <w:rFonts w:eastAsia="等线" w:ascii="Arial" w:cs="Arial" w:hAnsi="Arial"/>
          <w:sz w:val="22"/>
        </w:rPr>
        <w:t>; Backward Plan shows it still unchecked as of 2026-07-07, three weeks into build.</w:t>
      </w:r>
    </w:p>
    <w:p>
      <w:pPr>
        <w:numPr>
          <w:numId w:val="2"/>
        </w:numPr>
        <w:spacing w:before="120" w:after="120" w:line="288" w:lineRule="auto"/>
        <w:ind w:left="0"/>
        <w:jc w:val="left"/>
      </w:pPr>
      <w:r>
        <w:rPr>
          <w:rFonts w:eastAsia="等线" w:ascii="Arial" w:cs="Arial" w:hAnsi="Arial"/>
          <w:b w:val="true"/>
          <w:sz w:val="22"/>
        </w:rPr>
        <w:t>SC-07 (new) — Branch decision integrity.</w:t>
      </w:r>
      <w:r>
        <w:rPr>
          <w:rFonts w:eastAsia="等线" w:ascii="Arial" w:cs="Arial" w:hAnsi="Arial"/>
          <w:sz w:val="22"/>
        </w:rPr>
        <w:t xml:space="preserve"> v1.2 declared Penang-first LOCKED (LOC-03) on 23 Jun; the 7 Jul backward plan still lists it as an open confirmation item. Either the plan is stale or the decision was reopened — nobody has said which.</w:t>
      </w:r>
    </w:p>
    <w:p>
      <w:pPr>
        <w:numPr>
          <w:numId w:val="3"/>
        </w:numPr>
        <w:spacing w:before="120" w:after="120" w:line="288" w:lineRule="auto"/>
        <w:ind w:left="0"/>
        <w:jc w:val="left"/>
      </w:pPr>
      <w:r>
        <w:rPr>
          <w:rFonts w:eastAsia="等线" w:ascii="Arial" w:cs="Arial" w:hAnsi="Arial"/>
          <w:b w:val="true"/>
          <w:sz w:val="22"/>
        </w:rPr>
        <w:t>NSD-01 (carried) — Document format samples</w:t>
      </w:r>
      <w:r>
        <w:rPr>
          <w:rFonts w:eastAsia="等线" w:ascii="Arial" w:cs="Arial" w:hAnsi="Arial"/>
          <w:sz w:val="22"/>
        </w:rPr>
        <w:t xml:space="preserve"> still pending from GST; blocks document UAT per v1.2's own assessment.</w:t>
      </w:r>
    </w:p>
    <w:p>
      <w:pPr>
        <w:numPr>
          <w:numId w:val="4"/>
        </w:numPr>
        <w:spacing w:before="120" w:after="120" w:line="288" w:lineRule="auto"/>
        <w:ind w:left="0"/>
        <w:jc w:val="left"/>
      </w:pPr>
      <w:r>
        <w:rPr>
          <w:rFonts w:eastAsia="等线" w:ascii="Arial" w:cs="Arial" w:hAnsi="Arial"/>
          <w:b w:val="true"/>
          <w:sz w:val="22"/>
        </w:rPr>
        <w:t>NSD-02 (carried) — Blanket Order/Agreement behaviour mapping</w:t>
      </w:r>
      <w:r>
        <w:rPr>
          <w:rFonts w:eastAsia="等线" w:ascii="Arial" w:cs="Arial" w:hAnsi="Arial"/>
          <w:sz w:val="22"/>
        </w:rPr>
        <w:t xml:space="preserve"> still open; blocks pricing/order accuracy per v1.2.</w:t>
      </w:r>
    </w:p>
    <w:p>
      <w:pPr>
        <w:numPr>
          <w:numId w:val="5"/>
        </w:numPr>
        <w:spacing w:before="120" w:after="120" w:line="288" w:lineRule="auto"/>
        <w:ind w:left="0"/>
        <w:jc w:val="left"/>
      </w:pPr>
      <w:r>
        <w:rPr>
          <w:rFonts w:eastAsia="等线" w:ascii="Arial" w:cs="Arial" w:hAnsi="Arial"/>
          <w:b w:val="true"/>
          <w:sz w:val="22"/>
        </w:rPr>
        <w:t>SUP-05 (new) — Phase-2-adjacent items building ahead of their gate.</w:t>
      </w:r>
      <w:r>
        <w:rPr>
          <w:rFonts w:eastAsia="等线" w:ascii="Arial" w:cs="Arial" w:hAnsi="Arial"/>
          <w:sz w:val="22"/>
        </w:rPr>
        <w:t xml:space="preserve"> SOA, Aging/slow-stock, and "Item Name Override" show "In Progress" in July, before Phase 1 UAT (planned Aug 4–6) — no evidence GST agreed to this sequencing, and "Item Name Override" has no scope trace anywhere else in the corpus.</w:t>
      </w:r>
    </w:p>
    <w:p>
      <w:pPr>
        <w:pStyle w:val="3"/>
        <w:spacing w:before="300" w:after="120" w:line="288" w:lineRule="auto"/>
        <w:ind w:left="0"/>
        <w:jc w:val="left"/>
        <w:outlineLvl w:val="2"/>
      </w:pPr>
      <w:bookmarkStart w:name="heading_4" w:id="4"/>
      <w:r>
        <w:rPr>
          <w:rFonts w:eastAsia="等线" w:ascii="Arial" w:cs="Arial" w:hAnsi="Arial"/>
          <w:b w:val="true"/>
          <w:sz w:val="30"/>
        </w:rPr>
        <w:t>Top items to confirm with client</w:t>
      </w:r>
      <w:bookmarkEnd w:id="4"/>
    </w:p>
    <w:p>
      <w:pPr>
        <w:numPr>
          <w:numId w:val="6"/>
        </w:numPr>
        <w:spacing w:before="120" w:after="120" w:line="288" w:lineRule="auto"/>
        <w:ind w:left="0"/>
        <w:jc w:val="left"/>
      </w:pPr>
      <w:r>
        <w:rPr>
          <w:rFonts w:eastAsia="等线" w:ascii="Arial" w:cs="Arial" w:hAnsi="Arial"/>
          <w:sz w:val="22"/>
        </w:rPr>
        <w:t>Stock source of truth (NSD-06).</w:t>
      </w:r>
    </w:p>
    <w:p>
      <w:pPr>
        <w:numPr>
          <w:numId w:val="7"/>
        </w:numPr>
        <w:spacing w:before="120" w:after="120" w:line="288" w:lineRule="auto"/>
        <w:ind w:left="0"/>
        <w:jc w:val="left"/>
      </w:pPr>
      <w:r>
        <w:rPr>
          <w:rFonts w:eastAsia="等线" w:ascii="Arial" w:cs="Arial" w:hAnsi="Arial"/>
          <w:sz w:val="22"/>
        </w:rPr>
        <w:t>Reconfirm branch — is Penang-first still the plan, or did something change since 23 Jun (SC-07)?</w:t>
      </w:r>
    </w:p>
    <w:p>
      <w:pPr>
        <w:numPr>
          <w:numId w:val="8"/>
        </w:numPr>
        <w:spacing w:before="120" w:after="120" w:line="288" w:lineRule="auto"/>
        <w:ind w:left="0"/>
        <w:jc w:val="left"/>
      </w:pPr>
      <w:r>
        <w:rPr>
          <w:rFonts w:eastAsia="等线" w:ascii="Arial" w:cs="Arial" w:hAnsi="Arial"/>
          <w:sz w:val="22"/>
        </w:rPr>
        <w:t>Document format samples for all in-scope types (NSD-01, v1.2's own #1 confirmation item).</w:t>
      </w:r>
    </w:p>
    <w:p>
      <w:pPr>
        <w:numPr>
          <w:numId w:val="9"/>
        </w:numPr>
        <w:spacing w:before="120" w:after="120" w:line="288" w:lineRule="auto"/>
        <w:ind w:left="0"/>
        <w:jc w:val="left"/>
      </w:pPr>
      <w:r>
        <w:rPr>
          <w:rFonts w:eastAsia="等线" w:ascii="Arial" w:cs="Arial" w:hAnsi="Arial"/>
          <w:sz w:val="22"/>
        </w:rPr>
        <w:t>Blanket Order/Agreement behaviour walkthrough (NSD-02, v1.2's own #2 confirmation item).</w:t>
      </w:r>
    </w:p>
    <w:p>
      <w:pPr>
        <w:numPr>
          <w:numId w:val="10"/>
        </w:numPr>
        <w:spacing w:before="120" w:after="120" w:line="288" w:lineRule="auto"/>
        <w:ind w:left="0"/>
        <w:jc w:val="left"/>
      </w:pPr>
      <w:r>
        <w:rPr>
          <w:rFonts w:eastAsia="等线" w:ascii="Arial" w:cs="Arial" w:hAnsi="Arial"/>
          <w:sz w:val="22"/>
        </w:rPr>
        <w:t>Sales check-in / customer-visit-location reporting (NSD-05) — was this ever formally closed as declined, or does GST still expect it?</w:t>
      </w:r>
    </w:p>
    <w:p>
      <w:pPr>
        <w:numPr>
          <w:numId w:val="11"/>
        </w:numPr>
        <w:spacing w:before="120" w:after="120" w:line="288" w:lineRule="auto"/>
        <w:ind w:left="0"/>
        <w:jc w:val="left"/>
      </w:pPr>
      <w:r>
        <w:rPr>
          <w:rFonts w:eastAsia="等线" w:ascii="Arial" w:cs="Arial" w:hAnsi="Arial"/>
          <w:sz w:val="22"/>
        </w:rPr>
        <w:t>What is "Item Name Override," and is it a decision GST is even aware is being built?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3. Locked Operating Constraints (carried from v1.2, unchanged unless noted)</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LOC-01 — MAIA sits above SAP B1</w:t>
      </w:r>
      <w:bookmarkEnd w:id="6"/>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CLIENT-EVIDENCED OPERATING CONSTRAINT</w:t>
        <w:br/>
      </w:r>
      <w:r>
        <w:rPr>
          <w:rFonts w:eastAsia="等线" w:ascii="Arial" w:cs="Arial" w:hAnsi="Arial"/>
          <w:b w:val="true"/>
          <w:sz w:val="22"/>
        </w:rPr>
        <w:t>Source:</w:t>
      </w:r>
      <w:r>
        <w:rPr>
          <w:rFonts w:eastAsia="Consolas" w:ascii="Consolas" w:cs="Consolas" w:hAnsi="Consolas"/>
          <w:sz w:val="22"/>
          <w:shd w:fill="EFF0F1"/>
        </w:rPr>
        <w:t>[FF-PROP][FF-RG-A][SAP-VENDOR]</w:t>
      </w:r>
      <w:r>
        <w:rPr>
          <w:rFonts w:eastAsia="等线" w:ascii="Arial" w:cs="Arial" w:hAnsi="Arial"/>
          <w:sz w:val="22"/>
        </w:rPr>
        <w:t xml:space="preserve">; independently confirmed by </w:t>
      </w:r>
      <w:r>
        <w:rPr>
          <w:rFonts w:eastAsia="Consolas" w:ascii="Consolas" w:cs="Consolas" w:hAnsi="Consolas"/>
          <w:sz w:val="22"/>
          <w:shd w:fill="EFF0F1"/>
        </w:rPr>
        <w:t>[SOW | §1, §6]</w:t>
      </w:r>
      <w:r>
        <w:rPr>
          <w:rFonts w:eastAsia="等线" w:ascii="Arial" w:cs="Arial" w:hAnsi="Arial"/>
          <w:sz w:val="22"/>
        </w:rPr>
        <w:t xml:space="preserve"> ("not a replacement")</w:t>
      </w:r>
    </w:p>
    <w:p>
      <w:pPr>
        <w:pStyle w:val="4"/>
        <w:spacing w:before="260" w:after="120" w:line="288" w:lineRule="auto"/>
        <w:ind w:left="0"/>
        <w:jc w:val="left"/>
        <w:outlineLvl w:val="3"/>
      </w:pPr>
      <w:bookmarkStart w:name="heading_7" w:id="7"/>
      <w:r>
        <w:rPr>
          <w:rFonts w:eastAsia="等线" w:ascii="Arial" w:cs="Arial" w:hAnsi="Arial"/>
          <w:b w:val="true"/>
          <w:sz w:val="28"/>
        </w:rPr>
        <w:t>Decision</w:t>
      </w:r>
      <w:bookmarkEnd w:id="7"/>
    </w:p>
    <w:p>
      <w:pPr>
        <w:numPr>
          <w:numId w:val="12"/>
        </w:numPr>
        <w:spacing w:before="120" w:after="120" w:line="288" w:lineRule="auto"/>
        <w:ind w:left="0"/>
        <w:jc w:val="left"/>
      </w:pPr>
      <w:r>
        <w:rPr>
          <w:rFonts w:eastAsia="等线" w:ascii="Arial" w:cs="Arial" w:hAnsi="Arial"/>
          <w:sz w:val="22"/>
        </w:rPr>
        <w:t>SAP Business One remains the system of record for accounting, inventory, documents, and operations</w:t>
      </w:r>
    </w:p>
    <w:p>
      <w:pPr>
        <w:numPr>
          <w:numId w:val="13"/>
        </w:numPr>
        <w:spacing w:before="120" w:after="120" w:line="288" w:lineRule="auto"/>
        <w:ind w:left="0"/>
        <w:jc w:val="left"/>
      </w:pPr>
      <w:r>
        <w:rPr>
          <w:rFonts w:eastAsia="等线" w:ascii="Arial" w:cs="Arial" w:hAnsi="Arial"/>
          <w:sz w:val="22"/>
        </w:rPr>
        <w:t>MAIA operates as the coordination/workflow layer on top of SAP, not in place of it</w:t>
      </w:r>
    </w:p>
    <w:p>
      <w:pPr>
        <w:pStyle w:val="4"/>
        <w:spacing w:before="260" w:after="120" w:line="288" w:lineRule="auto"/>
        <w:ind w:left="0"/>
        <w:jc w:val="left"/>
        <w:outlineLvl w:val="3"/>
      </w:pPr>
      <w:bookmarkStart w:name="heading_8" w:id="8"/>
      <w:r>
        <w:rPr>
          <w:rFonts w:eastAsia="等线" w:ascii="Arial" w:cs="Arial" w:hAnsi="Arial"/>
          <w:b w:val="true"/>
          <w:sz w:val="28"/>
        </w:rPr>
        <w:t>Build implication</w:t>
      </w:r>
      <w:bookmarkEnd w:id="8"/>
    </w:p>
    <w:p>
      <w:pPr>
        <w:numPr>
          <w:numId w:val="14"/>
        </w:numPr>
        <w:spacing w:before="120" w:after="120" w:line="288" w:lineRule="auto"/>
        <w:ind w:left="0"/>
        <w:jc w:val="left"/>
      </w:pPr>
      <w:r>
        <w:rPr>
          <w:rFonts w:eastAsia="等线" w:ascii="Arial" w:cs="Arial" w:hAnsi="Arial"/>
          <w:sz w:val="22"/>
        </w:rPr>
        <w:t>Any MAIA document, payment, inventory, pricing, customer, or order behaviour touching the system of record must account for SAP sync or writeback</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 w:id="9"/>
      <w:r>
        <w:rPr>
          <w:rFonts w:eastAsia="等线" w:ascii="Arial" w:cs="Arial" w:hAnsi="Arial"/>
          <w:b w:val="true"/>
          <w:sz w:val="30"/>
        </w:rPr>
        <w:t>LOC-02 — SAP integration is a core delivery path</w:t>
      </w:r>
      <w:bookmarkEnd w:id="9"/>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CLIENT-EVIDENCED OPERATING CONSTRAINT</w:t>
        <w:br/>
      </w:r>
      <w:r>
        <w:rPr>
          <w:rFonts w:eastAsia="等线" w:ascii="Arial" w:cs="Arial" w:hAnsi="Arial"/>
          <w:b w:val="true"/>
          <w:sz w:val="22"/>
        </w:rPr>
        <w:t>Source:</w:t>
      </w:r>
      <w:r>
        <w:rPr>
          <w:rFonts w:eastAsia="Consolas" w:ascii="Consolas" w:cs="Consolas" w:hAnsi="Consolas"/>
          <w:sz w:val="22"/>
          <w:shd w:fill="EFF0F1"/>
        </w:rPr>
        <w:t>[FF-RG-A][SAP-VENDOR]</w:t>
      </w:r>
    </w:p>
    <w:p>
      <w:pPr>
        <w:pStyle w:val="4"/>
        <w:spacing w:before="260" w:after="120" w:line="288" w:lineRule="auto"/>
        <w:ind w:left="0"/>
        <w:jc w:val="left"/>
        <w:outlineLvl w:val="3"/>
      </w:pPr>
      <w:bookmarkStart w:name="heading_10" w:id="10"/>
      <w:r>
        <w:rPr>
          <w:rFonts w:eastAsia="等线" w:ascii="Arial" w:cs="Arial" w:hAnsi="Arial"/>
          <w:b w:val="true"/>
          <w:sz w:val="28"/>
        </w:rPr>
        <w:t>Decision</w:t>
      </w:r>
      <w:bookmarkEnd w:id="10"/>
    </w:p>
    <w:p>
      <w:pPr>
        <w:numPr>
          <w:numId w:val="15"/>
        </w:numPr>
        <w:spacing w:before="120" w:after="120" w:line="288" w:lineRule="auto"/>
        <w:ind w:left="0"/>
        <w:jc w:val="left"/>
      </w:pPr>
      <w:r>
        <w:rPr>
          <w:rFonts w:eastAsia="等线" w:ascii="Arial" w:cs="Arial" w:hAnsi="Arial"/>
          <w:sz w:val="22"/>
        </w:rPr>
        <w:t>SAP integration is required — GST's pricing, item master, customer master, invoices, stock, and document flows all depend on it</w:t>
      </w:r>
    </w:p>
    <w:p>
      <w:pPr>
        <w:numPr>
          <w:numId w:val="16"/>
        </w:numPr>
        <w:spacing w:before="120" w:after="120" w:line="288" w:lineRule="auto"/>
        <w:ind w:left="0"/>
        <w:jc w:val="left"/>
      </w:pPr>
      <w:r>
        <w:rPr>
          <w:rFonts w:eastAsia="等线" w:ascii="Arial" w:cs="Arial" w:hAnsi="Arial"/>
          <w:sz w:val="22"/>
        </w:rPr>
        <w:t>Build proceeds on the known SAP integration path; SAP endpoint coverage itself is not treated as an unresolved blocker</w:t>
      </w:r>
    </w:p>
    <w:p>
      <w:pPr>
        <w:pStyle w:val="4"/>
        <w:spacing w:before="260" w:after="120" w:line="288" w:lineRule="auto"/>
        <w:ind w:left="0"/>
        <w:jc w:val="left"/>
        <w:outlineLvl w:val="3"/>
      </w:pPr>
      <w:bookmarkStart w:name="heading_11" w:id="11"/>
      <w:r>
        <w:rPr>
          <w:rFonts w:eastAsia="等线" w:ascii="Arial" w:cs="Arial" w:hAnsi="Arial"/>
          <w:b w:val="true"/>
          <w:sz w:val="28"/>
        </w:rPr>
        <w:t>Build implication</w:t>
      </w:r>
      <w:bookmarkEnd w:id="11"/>
    </w:p>
    <w:p>
      <w:pPr>
        <w:numPr>
          <w:numId w:val="17"/>
        </w:numPr>
        <w:spacing w:before="120" w:after="120" w:line="288" w:lineRule="auto"/>
        <w:ind w:left="0"/>
        <w:jc w:val="left"/>
      </w:pPr>
      <w:r>
        <w:rPr>
          <w:rFonts w:eastAsia="等线" w:ascii="Arial" w:cs="Arial" w:hAnsi="Arial"/>
          <w:sz w:val="22"/>
        </w:rPr>
        <w:t>MAIA will not build custom UDF/UDH inside GST's SAP as part of base scope</w:t>
      </w:r>
    </w:p>
    <w:p>
      <w:pPr>
        <w:numPr>
          <w:numId w:val="18"/>
        </w:numPr>
        <w:spacing w:before="120" w:after="120" w:line="288" w:lineRule="auto"/>
        <w:ind w:left="0"/>
        <w:jc w:val="left"/>
      </w:pPr>
      <w:r>
        <w:rPr>
          <w:rFonts w:eastAsia="等线" w:ascii="Arial" w:cs="Arial" w:hAnsi="Arial"/>
          <w:sz w:val="22"/>
        </w:rPr>
        <w:t>Any vendor-side custom UDF/UDH limitation that blocks delivery is raised and scoped as a separate customisation, not absorbed into base build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 w:id="12"/>
      <w:r>
        <w:rPr>
          <w:rFonts w:eastAsia="等线" w:ascii="Arial" w:cs="Arial" w:hAnsi="Arial"/>
          <w:b w:val="true"/>
          <w:sz w:val="30"/>
        </w:rPr>
        <w:t>LOC-03 — Phase 1 is Penang-first unless client changes rollout</w:t>
      </w:r>
      <w:bookmarkEnd w:id="12"/>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per v1.2, </w:t>
      </w:r>
      <w:r>
        <w:rPr>
          <w:rFonts w:eastAsia="等线" w:ascii="Arial" w:cs="Arial" w:hAnsi="Arial"/>
          <w:b w:val="true"/>
          <w:sz w:val="22"/>
        </w:rPr>
        <w:t>flagged stale</w:t>
      </w:r>
      <w:r>
        <w:rPr>
          <w:rFonts w:eastAsia="等线" w:ascii="Arial" w:cs="Arial" w:hAnsi="Arial"/>
          <w:sz w:val="22"/>
        </w:rPr>
        <w:t xml:space="preserve"> — see SC-07</w:t>
        <w:br/>
      </w:r>
      <w:r>
        <w:rPr>
          <w:rFonts w:eastAsia="等线" w:ascii="Arial" w:cs="Arial" w:hAnsi="Arial"/>
          <w:b w:val="true"/>
          <w:sz w:val="22"/>
        </w:rPr>
        <w:t>Source:</w:t>
      </w:r>
      <w:r>
        <w:rPr>
          <w:rFonts w:eastAsia="Consolas" w:ascii="Consolas" w:cs="Consolas" w:hAnsi="Consolas"/>
          <w:sz w:val="22"/>
          <w:shd w:fill="EFF0F1"/>
        </w:rPr>
        <w:t>[FF-RG-A][Q]</w:t>
      </w:r>
      <w:r>
        <w:rPr>
          <w:rFonts w:eastAsia="等线" w:ascii="Arial" w:cs="Arial" w:hAnsi="Arial"/>
          <w:sz w:val="22"/>
        </w:rPr>
        <w:t xml:space="preserve">; independently corroborated by </w:t>
      </w:r>
      <w:r>
        <w:rPr>
          <w:rFonts w:eastAsia="Consolas" w:ascii="Consolas" w:cs="Consolas" w:hAnsi="Consolas"/>
          <w:sz w:val="22"/>
          <w:shd w:fill="EFF0F1"/>
        </w:rPr>
        <w:t>[RG | E2E Workflow — "Penang branch is Phase 1 target"]</w:t>
      </w:r>
    </w:p>
    <w:p>
      <w:pPr>
        <w:pStyle w:val="4"/>
        <w:spacing w:before="260" w:after="120" w:line="288" w:lineRule="auto"/>
        <w:ind w:left="0"/>
        <w:jc w:val="left"/>
        <w:outlineLvl w:val="3"/>
      </w:pPr>
      <w:bookmarkStart w:name="heading_13" w:id="13"/>
      <w:r>
        <w:rPr>
          <w:rFonts w:eastAsia="等线" w:ascii="Arial" w:cs="Arial" w:hAnsi="Arial"/>
          <w:b w:val="true"/>
          <w:sz w:val="28"/>
        </w:rPr>
        <w:t>Decision</w:t>
      </w:r>
      <w:bookmarkEnd w:id="13"/>
    </w:p>
    <w:p>
      <w:pPr>
        <w:numPr>
          <w:numId w:val="19"/>
        </w:numPr>
        <w:spacing w:before="120" w:after="120" w:line="288" w:lineRule="auto"/>
        <w:ind w:left="0"/>
        <w:jc w:val="left"/>
      </w:pPr>
      <w:r>
        <w:rPr>
          <w:rFonts w:eastAsia="等线" w:ascii="Arial" w:cs="Arial" w:hAnsi="Arial"/>
          <w:sz w:val="22"/>
        </w:rPr>
        <w:t>RG conversation framed the first rollout around Penang — clearest B2B sales workflow and SAP pricing practice</w:t>
      </w:r>
    </w:p>
    <w:p>
      <w:pPr>
        <w:numPr>
          <w:numId w:val="20"/>
        </w:numPr>
        <w:spacing w:before="120" w:after="120" w:line="288" w:lineRule="auto"/>
        <w:ind w:left="0"/>
        <w:jc w:val="left"/>
      </w:pPr>
      <w:r>
        <w:rPr>
          <w:rFonts w:eastAsia="等线" w:ascii="Arial" w:cs="Arial" w:hAnsi="Arial"/>
          <w:sz w:val="22"/>
        </w:rPr>
        <w:t>Initial configuration, UAT, and sample data use Penang-first assumptions unless GST explicitly confirms KL or multi-branch go-live</w:t>
      </w:r>
    </w:p>
    <w:p>
      <w:pPr>
        <w:pStyle w:val="4"/>
        <w:spacing w:before="260" w:after="120" w:line="288" w:lineRule="auto"/>
        <w:ind w:left="0"/>
        <w:jc w:val="left"/>
        <w:outlineLvl w:val="3"/>
      </w:pPr>
      <w:bookmarkStart w:name="heading_14" w:id="14"/>
      <w:r>
        <w:rPr>
          <w:rFonts w:eastAsia="等线" w:ascii="Arial" w:cs="Arial" w:hAnsi="Arial"/>
          <w:b w:val="true"/>
          <w:sz w:val="28"/>
        </w:rPr>
        <w:t>Build implication</w:t>
      </w:r>
      <w:bookmarkEnd w:id="14"/>
    </w:p>
    <w:p>
      <w:pPr>
        <w:numPr>
          <w:numId w:val="21"/>
        </w:numPr>
        <w:spacing w:before="120" w:after="120" w:line="288" w:lineRule="auto"/>
        <w:ind w:left="0"/>
        <w:jc w:val="left"/>
      </w:pPr>
      <w:r>
        <w:rPr>
          <w:rFonts w:eastAsia="等线" w:ascii="Arial" w:cs="Arial" w:hAnsi="Arial"/>
          <w:sz w:val="22"/>
        </w:rPr>
        <w:t>The 2026-07-07 Backward Plan still lists "confirm which branch goes live first" as an unchecked open item — three weeks after this was supposedly locked</w:t>
      </w:r>
    </w:p>
    <w:p>
      <w:pPr>
        <w:numPr>
          <w:numId w:val="22"/>
        </w:numPr>
        <w:spacing w:before="120" w:after="120" w:line="288" w:lineRule="auto"/>
        <w:ind w:left="0"/>
        <w:jc w:val="left"/>
      </w:pPr>
      <w:r>
        <w:rPr>
          <w:rFonts w:eastAsia="等线" w:ascii="Arial" w:cs="Arial" w:hAnsi="Arial"/>
          <w:sz w:val="22"/>
        </w:rPr>
        <w:t>Treat as needing a 30-second internal confirmation before UAT, not a re-opened client discovery question (see SC-07)</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5" w:id="15"/>
      <w:r>
        <w:rPr>
          <w:rFonts w:eastAsia="等线" w:ascii="Arial" w:cs="Arial" w:hAnsi="Arial"/>
          <w:b w:val="true"/>
          <w:sz w:val="30"/>
        </w:rPr>
        <w:t>LOC-04 — MAIA must respect SAP branch/data ownership</w:t>
      </w:r>
      <w:bookmarkEnd w:id="15"/>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CLIENT-EVIDENCED OPERATING CONSTRAINT</w:t>
        <w:br/>
      </w:r>
      <w:r>
        <w:rPr>
          <w:rFonts w:eastAsia="等线" w:ascii="Arial" w:cs="Arial" w:hAnsi="Arial"/>
          <w:b w:val="true"/>
          <w:sz w:val="22"/>
        </w:rPr>
        <w:t>Source:</w:t>
      </w:r>
      <w:r>
        <w:rPr>
          <w:rFonts w:eastAsia="Consolas" w:ascii="Consolas" w:cs="Consolas" w:hAnsi="Consolas"/>
          <w:sz w:val="22"/>
          <w:shd w:fill="EFF0F1"/>
        </w:rPr>
        <w:t>[FF-RG-A][RG-NOTES]</w:t>
      </w:r>
    </w:p>
    <w:p>
      <w:pPr>
        <w:pStyle w:val="4"/>
        <w:spacing w:before="260" w:after="120" w:line="288" w:lineRule="auto"/>
        <w:ind w:left="0"/>
        <w:jc w:val="left"/>
        <w:outlineLvl w:val="3"/>
      </w:pPr>
      <w:bookmarkStart w:name="heading_16" w:id="16"/>
      <w:r>
        <w:rPr>
          <w:rFonts w:eastAsia="等线" w:ascii="Arial" w:cs="Arial" w:hAnsi="Arial"/>
          <w:b w:val="true"/>
          <w:sz w:val="28"/>
        </w:rPr>
        <w:t>Decision</w:t>
      </w:r>
      <w:bookmarkEnd w:id="16"/>
    </w:p>
    <w:p>
      <w:pPr>
        <w:numPr>
          <w:numId w:val="23"/>
        </w:numPr>
        <w:spacing w:before="120" w:after="120" w:line="288" w:lineRule="auto"/>
        <w:ind w:left="0"/>
        <w:jc w:val="left"/>
      </w:pPr>
      <w:r>
        <w:rPr>
          <w:rFonts w:eastAsia="等线" w:ascii="Arial" w:cs="Arial" w:hAnsi="Arial"/>
          <w:sz w:val="22"/>
        </w:rPr>
        <w:t>GST's SAP structure uses branch/data ownership logic — users and documents are associated with branch-level visibility and control</w:t>
      </w:r>
    </w:p>
    <w:p>
      <w:pPr>
        <w:pStyle w:val="4"/>
        <w:spacing w:before="260" w:after="120" w:line="288" w:lineRule="auto"/>
        <w:ind w:left="0"/>
        <w:jc w:val="left"/>
        <w:outlineLvl w:val="3"/>
      </w:pPr>
      <w:bookmarkStart w:name="heading_17" w:id="17"/>
      <w:r>
        <w:rPr>
          <w:rFonts w:eastAsia="等线" w:ascii="Arial" w:cs="Arial" w:hAnsi="Arial"/>
          <w:b w:val="true"/>
          <w:sz w:val="28"/>
        </w:rPr>
        <w:t>Build implication</w:t>
      </w:r>
      <w:bookmarkEnd w:id="17"/>
    </w:p>
    <w:p>
      <w:pPr>
        <w:numPr>
          <w:numId w:val="24"/>
        </w:numPr>
        <w:spacing w:before="120" w:after="120" w:line="288" w:lineRule="auto"/>
        <w:ind w:left="0"/>
        <w:jc w:val="left"/>
      </w:pPr>
      <w:r>
        <w:rPr>
          <w:rFonts w:eastAsia="等线" w:ascii="Arial" w:cs="Arial" w:hAnsi="Arial"/>
          <w:sz w:val="22"/>
        </w:rPr>
        <w:t>MAIA must not expose all branch data to all users by default</w:t>
      </w:r>
    </w:p>
    <w:p>
      <w:pPr>
        <w:numPr>
          <w:numId w:val="25"/>
        </w:numPr>
        <w:spacing w:before="120" w:after="120" w:line="288" w:lineRule="auto"/>
        <w:ind w:left="0"/>
        <w:jc w:val="left"/>
      </w:pPr>
      <w:r>
        <w:rPr>
          <w:rFonts w:eastAsia="等线" w:ascii="Arial" w:cs="Arial" w:hAnsi="Arial"/>
          <w:sz w:val="22"/>
        </w:rPr>
        <w:t>User visibility and document access must respect branch permissions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8" w:id="18"/>
      <w:r>
        <w:rPr>
          <w:rFonts w:eastAsia="等线" w:ascii="Arial" w:cs="Arial" w:hAnsi="Arial"/>
          <w:b w:val="true"/>
          <w:sz w:val="30"/>
        </w:rPr>
        <w:t>LOC-05 — Joey is the working internal implementation PIC</w:t>
      </w:r>
      <w:bookmarkEnd w:id="18"/>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CLIENT-EVIDENCED OPERATING CONSTRAINT</w:t>
        <w:br/>
      </w:r>
      <w:r>
        <w:rPr>
          <w:rFonts w:eastAsia="等线" w:ascii="Arial" w:cs="Arial" w:hAnsi="Arial"/>
          <w:b w:val="true"/>
          <w:sz w:val="22"/>
        </w:rPr>
        <w:t>Source:</w:t>
      </w:r>
      <w:r>
        <w:rPr>
          <w:rFonts w:eastAsia="Consolas" w:ascii="Consolas" w:cs="Consolas" w:hAnsi="Consolas"/>
          <w:sz w:val="22"/>
          <w:shd w:fill="EFF0F1"/>
        </w:rPr>
        <w:t>[FF-RG-A][WA]</w:t>
      </w:r>
    </w:p>
    <w:p>
      <w:pPr>
        <w:pStyle w:val="4"/>
        <w:spacing w:before="260" w:after="120" w:line="288" w:lineRule="auto"/>
        <w:ind w:left="0"/>
        <w:jc w:val="left"/>
        <w:outlineLvl w:val="3"/>
      </w:pPr>
      <w:bookmarkStart w:name="heading_19" w:id="19"/>
      <w:r>
        <w:rPr>
          <w:rFonts w:eastAsia="等线" w:ascii="Arial" w:cs="Arial" w:hAnsi="Arial"/>
          <w:b w:val="true"/>
          <w:sz w:val="28"/>
        </w:rPr>
        <w:t>Decision</w:t>
      </w:r>
      <w:bookmarkEnd w:id="19"/>
    </w:p>
    <w:p>
      <w:pPr>
        <w:numPr>
          <w:numId w:val="26"/>
        </w:numPr>
        <w:spacing w:before="120" w:after="120" w:line="288" w:lineRule="auto"/>
        <w:ind w:left="0"/>
        <w:jc w:val="left"/>
      </w:pPr>
      <w:r>
        <w:rPr>
          <w:rFonts w:eastAsia="等线" w:ascii="Arial" w:cs="Arial" w:hAnsi="Arial"/>
          <w:sz w:val="22"/>
        </w:rPr>
        <w:t>Joey is the working implementation PIC / day-to-day coordination owner on GST's side</w:t>
      </w:r>
    </w:p>
    <w:p>
      <w:pPr>
        <w:numPr>
          <w:numId w:val="27"/>
        </w:numPr>
        <w:spacing w:before="120" w:after="120" w:line="288" w:lineRule="auto"/>
        <w:ind w:left="0"/>
        <w:jc w:val="left"/>
      </w:pPr>
      <w:r>
        <w:rPr>
          <w:rFonts w:eastAsia="等线" w:ascii="Arial" w:cs="Arial" w:hAnsi="Arial"/>
          <w:sz w:val="22"/>
        </w:rPr>
        <w:t>SOW §7.2 spells this "Joey Pong"; every other source spells "Joey Ong" — treated as the same person (transcription variance), not two PICs</w:t>
      </w:r>
    </w:p>
    <w:p>
      <w:pPr>
        <w:pStyle w:val="4"/>
        <w:spacing w:before="260" w:after="120" w:line="288" w:lineRule="auto"/>
        <w:ind w:left="0"/>
        <w:jc w:val="left"/>
        <w:outlineLvl w:val="3"/>
      </w:pPr>
      <w:bookmarkStart w:name="heading_20" w:id="20"/>
      <w:r>
        <w:rPr>
          <w:rFonts w:eastAsia="等线" w:ascii="Arial" w:cs="Arial" w:hAnsi="Arial"/>
          <w:b w:val="true"/>
          <w:sz w:val="28"/>
        </w:rPr>
        <w:t>Build implication</w:t>
      </w:r>
      <w:bookmarkEnd w:id="20"/>
    </w:p>
    <w:p>
      <w:pPr>
        <w:numPr>
          <w:numId w:val="28"/>
        </w:numPr>
        <w:spacing w:before="120" w:after="120" w:line="288" w:lineRule="auto"/>
        <w:ind w:left="0"/>
        <w:jc w:val="left"/>
      </w:pPr>
      <w:r>
        <w:rPr>
          <w:rFonts w:eastAsia="等线" w:ascii="Arial" w:cs="Arial" w:hAnsi="Arial"/>
          <w:sz w:val="22"/>
        </w:rPr>
        <w:t>Sample collection, UAT coordination, and requirement confirmations route through Joey unless GST assigns another owner</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1" w:id="21"/>
      <w:r>
        <w:rPr>
          <w:rFonts w:eastAsia="等线" w:ascii="Arial" w:cs="Arial" w:hAnsi="Arial"/>
          <w:b w:val="true"/>
          <w:sz w:val="30"/>
        </w:rPr>
        <w:t>LOC-06 — GST-side setup dependencies are required</w:t>
      </w:r>
      <w:bookmarkEnd w:id="21"/>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CLIENT-EVIDENCED OPERATING CONSTRAINT</w:t>
        <w:br/>
      </w:r>
      <w:r>
        <w:rPr>
          <w:rFonts w:eastAsia="等线" w:ascii="Arial" w:cs="Arial" w:hAnsi="Arial"/>
          <w:b w:val="true"/>
          <w:sz w:val="22"/>
        </w:rPr>
        <w:t>Source:</w:t>
      </w:r>
      <w:r>
        <w:rPr>
          <w:rFonts w:eastAsia="Consolas" w:ascii="Consolas" w:cs="Consolas" w:hAnsi="Consolas"/>
          <w:sz w:val="22"/>
          <w:shd w:fill="EFF0F1"/>
        </w:rPr>
        <w:t>[FF-RG-A][WA]</w:t>
      </w:r>
    </w:p>
    <w:p>
      <w:pPr>
        <w:pStyle w:val="4"/>
        <w:spacing w:before="260" w:after="120" w:line="288" w:lineRule="auto"/>
        <w:ind w:left="0"/>
        <w:jc w:val="left"/>
        <w:outlineLvl w:val="3"/>
      </w:pPr>
      <w:bookmarkStart w:name="heading_22" w:id="22"/>
      <w:r>
        <w:rPr>
          <w:rFonts w:eastAsia="等线" w:ascii="Arial" w:cs="Arial" w:hAnsi="Arial"/>
          <w:b w:val="true"/>
          <w:sz w:val="28"/>
        </w:rPr>
        <w:t>Decision</w:t>
      </w:r>
      <w:bookmarkEnd w:id="22"/>
    </w:p>
    <w:p>
      <w:pPr>
        <w:numPr>
          <w:numId w:val="29"/>
        </w:numPr>
        <w:spacing w:before="120" w:after="120" w:line="288" w:lineRule="auto"/>
        <w:ind w:left="0"/>
        <w:jc w:val="left"/>
      </w:pPr>
      <w:r>
        <w:rPr>
          <w:rFonts w:eastAsia="等线" w:ascii="Arial" w:cs="Arial" w:hAnsi="Arial"/>
          <w:sz w:val="22"/>
        </w:rPr>
        <w:t>GST must support setup of WhatsApp Business Account, OpenAI API, AWS account, and relevant phone/account access</w:t>
      </w:r>
    </w:p>
    <w:p>
      <w:pPr>
        <w:pStyle w:val="4"/>
        <w:spacing w:before="260" w:after="120" w:line="288" w:lineRule="auto"/>
        <w:ind w:left="0"/>
        <w:jc w:val="left"/>
        <w:outlineLvl w:val="3"/>
      </w:pPr>
      <w:bookmarkStart w:name="heading_23" w:id="23"/>
      <w:r>
        <w:rPr>
          <w:rFonts w:eastAsia="等线" w:ascii="Arial" w:cs="Arial" w:hAnsi="Arial"/>
          <w:b w:val="true"/>
          <w:sz w:val="28"/>
        </w:rPr>
        <w:t>Build implication</w:t>
      </w:r>
      <w:bookmarkEnd w:id="23"/>
    </w:p>
    <w:p>
      <w:pPr>
        <w:numPr>
          <w:numId w:val="30"/>
        </w:numPr>
        <w:spacing w:before="120" w:after="120" w:line="288" w:lineRule="auto"/>
        <w:ind w:left="0"/>
        <w:jc w:val="left"/>
      </w:pPr>
      <w:r>
        <w:rPr>
          <w:rFonts w:eastAsia="等线" w:ascii="Arial" w:cs="Arial" w:hAnsi="Arial"/>
          <w:sz w:val="22"/>
        </w:rPr>
        <w:t>Infrastructure readiness is a client-side dependency — Mindhive can assist setup but cannot fully proceed without account ownership and access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4" w:id="24"/>
      <w:r>
        <w:rPr>
          <w:rFonts w:eastAsia="等线" w:ascii="Arial" w:cs="Arial" w:hAnsi="Arial"/>
          <w:b w:val="true"/>
          <w:sz w:val="32"/>
        </w:rPr>
        <w:t>4. Locked Scope (carried from v1.2, unchanged unless noted)</w:t>
      </w:r>
      <w:bookmarkEnd w:id="24"/>
    </w:p>
    <w:p>
      <w:pPr>
        <w:pStyle w:val="3"/>
        <w:spacing w:before="300" w:after="120" w:line="288" w:lineRule="auto"/>
        <w:ind w:left="0"/>
        <w:jc w:val="left"/>
        <w:outlineLvl w:val="2"/>
      </w:pPr>
      <w:bookmarkStart w:name="heading_25" w:id="25"/>
      <w:r>
        <w:rPr>
          <w:rFonts w:eastAsia="等线" w:ascii="Arial" w:cs="Arial" w:hAnsi="Arial"/>
          <w:b w:val="true"/>
          <w:sz w:val="30"/>
        </w:rPr>
        <w:t>SL-01 — Multi-format order/quotation intake and quotation draft</w:t>
      </w:r>
      <w:bookmarkEnd w:id="25"/>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w:t>
        <w:br/>
      </w:r>
      <w:r>
        <w:rPr>
          <w:rFonts w:eastAsia="等线" w:ascii="Arial" w:cs="Arial" w:hAnsi="Arial"/>
          <w:b w:val="true"/>
          <w:sz w:val="22"/>
        </w:rPr>
        <w:t>Source:</w:t>
      </w:r>
      <w:r>
        <w:rPr>
          <w:rFonts w:eastAsia="Consolas" w:ascii="Consolas" w:cs="Consolas" w:hAnsi="Consolas"/>
          <w:sz w:val="22"/>
          <w:shd w:fill="EFF0F1"/>
        </w:rPr>
        <w:t>[FF-RG-A | quotation intake / order request channels]</w:t>
      </w:r>
      <w:r>
        <w:rPr>
          <w:rFonts w:eastAsia="等线" w:ascii="Arial" w:cs="Arial" w:hAnsi="Arial"/>
          <w:sz w:val="22"/>
        </w:rPr>
        <w:t xml:space="preserve">; independently corroborated by </w:t>
      </w:r>
      <w:r>
        <w:rPr>
          <w:rFonts w:eastAsia="Consolas" w:ascii="Consolas" w:cs="Consolas" w:hAnsi="Consolas"/>
          <w:sz w:val="22"/>
          <w:shd w:fill="EFF0F1"/>
        </w:rPr>
        <w:t>[RG | Captured Requirements — Sales Workflow]</w:t>
      </w:r>
      <w:r>
        <w:rPr>
          <w:rFonts w:eastAsia="等线" w:ascii="Arial" w:cs="Arial" w:hAnsi="Arial"/>
          <w:sz w:val="22"/>
        </w:rPr>
        <w:t xml:space="preserve"> (WhatsApp freeform text + Excel forwarding) and </w:t>
      </w:r>
      <w:r>
        <w:rPr>
          <w:rFonts w:eastAsia="Consolas" w:ascii="Consolas" w:cs="Consolas" w:hAnsi="Consolas"/>
          <w:sz w:val="22"/>
          <w:shd w:fill="EFF0F1"/>
        </w:rPr>
        <w:t>[SOW | §2.1.1]</w:t>
      </w:r>
    </w:p>
    <w:p>
      <w:pPr>
        <w:pStyle w:val="4"/>
        <w:spacing w:before="260" w:after="120" w:line="288" w:lineRule="auto"/>
        <w:ind w:left="0"/>
        <w:jc w:val="left"/>
        <w:outlineLvl w:val="3"/>
      </w:pPr>
      <w:bookmarkStart w:name="heading_26" w:id="26"/>
      <w:r>
        <w:rPr>
          <w:rFonts w:eastAsia="等线" w:ascii="Arial" w:cs="Arial" w:hAnsi="Arial"/>
          <w:b w:val="true"/>
          <w:sz w:val="28"/>
        </w:rPr>
        <w:t>User-facing flow</w:t>
      </w:r>
      <w:bookmarkEnd w:id="26"/>
    </w:p>
    <w:p>
      <w:pPr>
        <w:numPr>
          <w:numId w:val="31"/>
        </w:numPr>
        <w:spacing w:before="120" w:after="120" w:line="288" w:lineRule="auto"/>
        <w:ind w:left="0"/>
        <w:jc w:val="left"/>
      </w:pPr>
      <w:r>
        <w:rPr>
          <w:rFonts w:eastAsia="等线" w:ascii="Arial" w:cs="Arial" w:hAnsi="Arial"/>
          <w:sz w:val="22"/>
        </w:rPr>
        <w:t>Customer sends order request → user uploads or forwards it into MAIA (quotation doc, handwritten doc, WhatsApp message, or other feasible artefact)</w:t>
      </w:r>
    </w:p>
    <w:p>
      <w:pPr>
        <w:numPr>
          <w:numId w:val="32"/>
        </w:numPr>
        <w:spacing w:before="120" w:after="120" w:line="288" w:lineRule="auto"/>
        <w:ind w:left="0"/>
        <w:jc w:val="left"/>
      </w:pPr>
      <w:r>
        <w:rPr>
          <w:rFonts w:eastAsia="等线" w:ascii="Arial" w:cs="Arial" w:hAnsi="Arial"/>
          <w:sz w:val="22"/>
        </w:rPr>
        <w:t>MAIA parses the request and drafts quotation lines</w:t>
      </w:r>
    </w:p>
    <w:p>
      <w:pPr>
        <w:numPr>
          <w:numId w:val="33"/>
        </w:numPr>
        <w:spacing w:before="120" w:after="120" w:line="288" w:lineRule="auto"/>
        <w:ind w:left="0"/>
        <w:jc w:val="left"/>
      </w:pPr>
      <w:r>
        <w:rPr>
          <w:rFonts w:eastAsia="等线" w:ascii="Arial" w:cs="Arial" w:hAnsi="Arial"/>
          <w:sz w:val="22"/>
        </w:rPr>
        <w:t>User reviews item, quantity, customer, price, remarks, and delivery details, then confirms or edits</w:t>
      </w:r>
    </w:p>
    <w:p>
      <w:pPr>
        <w:pStyle w:val="4"/>
        <w:spacing w:before="260" w:after="120" w:line="288" w:lineRule="auto"/>
        <w:ind w:left="0"/>
        <w:jc w:val="left"/>
        <w:outlineLvl w:val="3"/>
      </w:pPr>
      <w:bookmarkStart w:name="heading_27" w:id="27"/>
      <w:r>
        <w:rPr>
          <w:rFonts w:eastAsia="等线" w:ascii="Arial" w:cs="Arial" w:hAnsi="Arial"/>
          <w:b w:val="true"/>
          <w:sz w:val="28"/>
        </w:rPr>
        <w:t>Acceptance criteria</w:t>
      </w:r>
      <w:bookmarkEnd w:id="27"/>
    </w:p>
    <w:p>
      <w:pPr>
        <w:numPr>
          <w:numId w:val="34"/>
        </w:numPr>
        <w:spacing w:before="120" w:after="120" w:line="288" w:lineRule="auto"/>
        <w:ind w:left="0"/>
        <w:jc w:val="left"/>
      </w:pPr>
      <w:r>
        <w:rPr>
          <w:rFonts w:eastAsia="等线" w:ascii="Arial" w:cs="Arial" w:hAnsi="Arial"/>
          <w:sz w:val="22"/>
        </w:rPr>
        <w:t>MAIA drafts editable quotation lines; user can edit every extracted field before confirmation</w:t>
      </w:r>
    </w:p>
    <w:p>
      <w:pPr>
        <w:numPr>
          <w:numId w:val="35"/>
        </w:numPr>
        <w:spacing w:before="120" w:after="120" w:line="288" w:lineRule="auto"/>
        <w:ind w:left="0"/>
        <w:jc w:val="left"/>
      </w:pPr>
      <w:r>
        <w:rPr>
          <w:rFonts w:eastAsia="等线" w:ascii="Arial" w:cs="Arial" w:hAnsi="Arial"/>
          <w:sz w:val="22"/>
        </w:rPr>
        <w:t>MAIA never auto-finalises a quotation without user confirmation</w:t>
      </w:r>
    </w:p>
    <w:p>
      <w:pPr>
        <w:pStyle w:val="4"/>
        <w:spacing w:before="260" w:after="120" w:line="288" w:lineRule="auto"/>
        <w:ind w:left="0"/>
        <w:jc w:val="left"/>
        <w:outlineLvl w:val="3"/>
      </w:pPr>
      <w:bookmarkStart w:name="heading_28" w:id="28"/>
      <w:r>
        <w:rPr>
          <w:rFonts w:eastAsia="等线" w:ascii="Arial" w:cs="Arial" w:hAnsi="Arial"/>
          <w:b w:val="true"/>
          <w:sz w:val="28"/>
        </w:rPr>
        <w:t>Confidence: HIGH on scope; MEDIUM on input-format performance until sample documents are received</w:t>
      </w:r>
      <w:bookmarkEnd w:id="28"/>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9" w:id="29"/>
      <w:r>
        <w:rPr>
          <w:rFonts w:eastAsia="等线" w:ascii="Arial" w:cs="Arial" w:hAnsi="Arial"/>
          <w:b w:val="true"/>
          <w:sz w:val="30"/>
        </w:rPr>
        <w:t>SL-02 — Item suggestion using RAG / item master retrieval</w:t>
      </w:r>
      <w:bookmarkEnd w:id="29"/>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w:t>
        <w:br/>
      </w:r>
      <w:r>
        <w:rPr>
          <w:rFonts w:eastAsia="等线" w:ascii="Arial" w:cs="Arial" w:hAnsi="Arial"/>
          <w:b w:val="true"/>
          <w:sz w:val="22"/>
        </w:rPr>
        <w:t>Source:</w:t>
      </w:r>
      <w:r>
        <w:rPr>
          <w:rFonts w:eastAsia="Consolas" w:ascii="Consolas" w:cs="Consolas" w:hAnsi="Consolas"/>
          <w:sz w:val="22"/>
          <w:shd w:fill="EFF0F1"/>
        </w:rPr>
        <w:t>[FF-RG-A | product matching / item master]</w:t>
      </w:r>
    </w:p>
    <w:p>
      <w:pPr>
        <w:spacing w:before="120" w:after="120" w:line="288" w:lineRule="auto"/>
        <w:ind w:left="0"/>
        <w:jc w:val="left"/>
      </w:pPr>
      <w:r>
        <w:rPr>
          <w:rFonts w:eastAsia="等线" w:ascii="Arial" w:cs="Arial" w:hAnsi="Arial"/>
          <w:b w:val="true"/>
          <w:sz w:val="22"/>
        </w:rPr>
        <w:t>Reconciliation note:</w:t>
      </w:r>
      <w:r>
        <w:rPr>
          <w:rFonts w:eastAsia="等线" w:ascii="Arial" w:cs="Arial" w:hAnsi="Arial"/>
          <w:sz w:val="22"/>
        </w:rPr>
        <w:t xml:space="preserve"> the 7 May delivery-tracker CSV marks a "cRFQ / Quotation" module config line as "Out of Scope" </w:t>
      </w:r>
      <w:r>
        <w:rPr>
          <w:rFonts w:eastAsia="Consolas" w:ascii="Consolas" w:cs="Consolas" w:hAnsi="Consolas"/>
          <w:sz w:val="22"/>
          <w:shd w:fill="EFF0F1"/>
        </w:rPr>
        <w:t>[CSV | cRFQ/Quotation section]</w:t>
      </w:r>
      <w:r>
        <w:rPr>
          <w:rFonts w:eastAsia="等线" w:ascii="Arial" w:cs="Arial" w:hAnsi="Arial"/>
          <w:sz w:val="22"/>
        </w:rPr>
        <w:t>. Read against v1.2 (dated three weeks later), the likelier explanation is that the CSV's "cRFQ" line referred to a heavier, standalone quotation-generation module that was folded into (or replaced by) this lighter RAG-suggestion approach — not that item matching was dropped outright. Best current reconciliation, not a confirmed fact — flag for a one-line check with whoever owns the CSV.</w:t>
      </w:r>
    </w:p>
    <w:p>
      <w:pPr>
        <w:pStyle w:val="4"/>
        <w:spacing w:before="260" w:after="120" w:line="288" w:lineRule="auto"/>
        <w:ind w:left="0"/>
        <w:jc w:val="left"/>
        <w:outlineLvl w:val="3"/>
      </w:pPr>
      <w:bookmarkStart w:name="heading_30" w:id="30"/>
      <w:r>
        <w:rPr>
          <w:rFonts w:eastAsia="等线" w:ascii="Arial" w:cs="Arial" w:hAnsi="Arial"/>
          <w:b w:val="true"/>
          <w:sz w:val="28"/>
        </w:rPr>
        <w:t>User-facing flow</w:t>
      </w:r>
      <w:bookmarkEnd w:id="30"/>
    </w:p>
    <w:p>
      <w:pPr>
        <w:numPr>
          <w:numId w:val="36"/>
        </w:numPr>
        <w:spacing w:before="120" w:after="120" w:line="288" w:lineRule="auto"/>
        <w:ind w:left="0"/>
        <w:jc w:val="left"/>
      </w:pPr>
      <w:r>
        <w:rPr>
          <w:rFonts w:eastAsia="等线" w:ascii="Arial" w:cs="Arial" w:hAnsi="Arial"/>
          <w:sz w:val="22"/>
        </w:rPr>
        <w:t>User uploads an order request → MAIA extracts item text → searches the item master → suggests likely/similar items</w:t>
      </w:r>
    </w:p>
    <w:p>
      <w:pPr>
        <w:numPr>
          <w:numId w:val="37"/>
        </w:numPr>
        <w:spacing w:before="120" w:after="120" w:line="288" w:lineRule="auto"/>
        <w:ind w:left="0"/>
        <w:jc w:val="left"/>
      </w:pPr>
      <w:r>
        <w:rPr>
          <w:rFonts w:eastAsia="等线" w:ascii="Arial" w:cs="Arial" w:hAnsi="Arial"/>
          <w:sz w:val="22"/>
        </w:rPr>
        <w:t>User confirms, rejects, or overrides each suggestion</w:t>
      </w:r>
    </w:p>
    <w:p>
      <w:pPr>
        <w:pStyle w:val="4"/>
        <w:spacing w:before="260" w:after="120" w:line="288" w:lineRule="auto"/>
        <w:ind w:left="0"/>
        <w:jc w:val="left"/>
        <w:outlineLvl w:val="3"/>
      </w:pPr>
      <w:bookmarkStart w:name="heading_31" w:id="31"/>
      <w:r>
        <w:rPr>
          <w:rFonts w:eastAsia="等线" w:ascii="Arial" w:cs="Arial" w:hAnsi="Arial"/>
          <w:b w:val="true"/>
          <w:sz w:val="28"/>
        </w:rPr>
        <w:t>Acceptance criteria</w:t>
      </w:r>
      <w:bookmarkEnd w:id="31"/>
    </w:p>
    <w:p>
      <w:pPr>
        <w:numPr>
          <w:numId w:val="38"/>
        </w:numPr>
        <w:spacing w:before="120" w:after="120" w:line="288" w:lineRule="auto"/>
        <w:ind w:left="0"/>
        <w:jc w:val="left"/>
      </w:pPr>
      <w:r>
        <w:rPr>
          <w:rFonts w:eastAsia="等线" w:ascii="Arial" w:cs="Arial" w:hAnsi="Arial"/>
          <w:sz w:val="22"/>
        </w:rPr>
        <w:t>MAIA never silently substitutes an item</w:t>
      </w:r>
    </w:p>
    <w:p>
      <w:pPr>
        <w:numPr>
          <w:numId w:val="39"/>
        </w:numPr>
        <w:spacing w:before="120" w:after="120" w:line="288" w:lineRule="auto"/>
        <w:ind w:left="0"/>
        <w:jc w:val="left"/>
      </w:pPr>
      <w:r>
        <w:rPr>
          <w:rFonts w:eastAsia="等线" w:ascii="Arial" w:cs="Arial" w:hAnsi="Arial"/>
          <w:sz w:val="22"/>
        </w:rPr>
        <w:t>Suggestion quality is explicitly stated as dependent on item-master data quality, not guaranteed</w:t>
      </w:r>
    </w:p>
    <w:p>
      <w:pPr>
        <w:pStyle w:val="4"/>
        <w:spacing w:before="260" w:after="120" w:line="288" w:lineRule="auto"/>
        <w:ind w:left="0"/>
        <w:jc w:val="left"/>
        <w:outlineLvl w:val="3"/>
      </w:pPr>
      <w:bookmarkStart w:name="heading_32" w:id="32"/>
      <w:r>
        <w:rPr>
          <w:rFonts w:eastAsia="等线" w:ascii="Arial" w:cs="Arial" w:hAnsi="Arial"/>
          <w:b w:val="true"/>
          <w:sz w:val="28"/>
        </w:rPr>
        <w:t>Confidence: HIGH on scope; MEDIUM on performance (external data-quality dependency)</w:t>
      </w:r>
      <w:bookmarkEnd w:id="32"/>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3" w:id="33"/>
      <w:r>
        <w:rPr>
          <w:rFonts w:eastAsia="等线" w:ascii="Arial" w:cs="Arial" w:hAnsi="Arial"/>
          <w:b w:val="true"/>
          <w:sz w:val="30"/>
        </w:rPr>
        <w:t>SL-03 — SAP-style Blanket Order / Blanket Agreement support</w:t>
      </w:r>
      <w:bookmarkEnd w:id="33"/>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 NSD-02 still open</w:t>
        <w:br/>
      </w:r>
      <w:r>
        <w:rPr>
          <w:rFonts w:eastAsia="等线" w:ascii="Arial" w:cs="Arial" w:hAnsi="Arial"/>
          <w:b w:val="true"/>
          <w:sz w:val="22"/>
        </w:rPr>
        <w:t>Source:</w:t>
      </w:r>
      <w:r>
        <w:rPr>
          <w:rFonts w:eastAsia="Consolas" w:ascii="Consolas" w:cs="Consolas" w:hAnsi="Consolas"/>
          <w:sz w:val="22"/>
          <w:shd w:fill="EFF0F1"/>
        </w:rPr>
        <w:t>[FF-RG-A | pricing / Blanket Agreement]</w:t>
      </w:r>
    </w:p>
    <w:p>
      <w:pPr>
        <w:spacing w:before="120" w:after="120" w:line="288" w:lineRule="auto"/>
        <w:ind w:left="0"/>
        <w:jc w:val="left"/>
      </w:pPr>
      <w:r>
        <w:rPr>
          <w:rFonts w:eastAsia="等线" w:ascii="Arial" w:cs="Arial" w:hAnsi="Arial"/>
          <w:b w:val="true"/>
          <w:sz w:val="22"/>
        </w:rPr>
        <w:t>Distinct from CPRN (OOS-01) — do not conflate.</w:t>
      </w:r>
      <w:r>
        <w:rPr>
          <w:rFonts w:eastAsia="等线" w:ascii="Arial" w:cs="Arial" w:hAnsi="Arial"/>
          <w:sz w:val="22"/>
        </w:rPr>
        <w:t xml:space="preserve"> This is the same item tracked as "Blanket Order" in the Backward Plan's Customisations table (In Progress, 24–28 Jul) </w:t>
      </w:r>
      <w:r>
        <w:rPr>
          <w:rFonts w:eastAsia="Consolas" w:ascii="Consolas" w:cs="Consolas" w:hAnsi="Consolas"/>
          <w:sz w:val="22"/>
          <w:shd w:fill="EFF0F1"/>
        </w:rPr>
        <w:t>[BP | Customisations table]</w:t>
      </w:r>
      <w:r>
        <w:rPr>
          <w:rFonts w:eastAsia="等线" w:ascii="Arial" w:cs="Arial" w:hAnsi="Arial"/>
          <w:sz w:val="22"/>
        </w:rPr>
        <w:t xml:space="preserve"> — that build activity is consistent with this LOCKED item, not a violation of it.</w:t>
      </w:r>
    </w:p>
    <w:p>
      <w:pPr>
        <w:pStyle w:val="4"/>
        <w:spacing w:before="260" w:after="120" w:line="288" w:lineRule="auto"/>
        <w:ind w:left="0"/>
        <w:jc w:val="left"/>
        <w:outlineLvl w:val="3"/>
      </w:pPr>
      <w:bookmarkStart w:name="heading_34" w:id="34"/>
      <w:r>
        <w:rPr>
          <w:rFonts w:eastAsia="等线" w:ascii="Arial" w:cs="Arial" w:hAnsi="Arial"/>
          <w:b w:val="true"/>
          <w:sz w:val="28"/>
        </w:rPr>
        <w:t>User-facing flow</w:t>
      </w:r>
      <w:bookmarkEnd w:id="34"/>
    </w:p>
    <w:p>
      <w:pPr>
        <w:numPr>
          <w:numId w:val="40"/>
        </w:numPr>
        <w:spacing w:before="120" w:after="120" w:line="288" w:lineRule="auto"/>
        <w:ind w:left="0"/>
        <w:jc w:val="left"/>
      </w:pPr>
      <w:r>
        <w:rPr>
          <w:rFonts w:eastAsia="等线" w:ascii="Arial" w:cs="Arial" w:hAnsi="Arial"/>
          <w:sz w:val="22"/>
        </w:rPr>
        <w:t>User creates a quotation/order for a customer → MAIA checks the applicable Blanket Order/Agreement → applies the agreed customer/item terms</w:t>
      </w:r>
    </w:p>
    <w:p>
      <w:pPr>
        <w:numPr>
          <w:numId w:val="41"/>
        </w:numPr>
        <w:spacing w:before="120" w:after="120" w:line="288" w:lineRule="auto"/>
        <w:ind w:left="0"/>
        <w:jc w:val="left"/>
      </w:pPr>
      <w:r>
        <w:rPr>
          <w:rFonts w:eastAsia="等线" w:ascii="Arial" w:cs="Arial" w:hAnsi="Arial"/>
          <w:sz w:val="22"/>
        </w:rPr>
        <w:t>SAP writeback preserves the required Blanket Order/Agreement linkage and traceability</w:t>
      </w:r>
    </w:p>
    <w:p>
      <w:pPr>
        <w:pStyle w:val="4"/>
        <w:spacing w:before="260" w:after="120" w:line="288" w:lineRule="auto"/>
        <w:ind w:left="0"/>
        <w:jc w:val="left"/>
        <w:outlineLvl w:val="3"/>
      </w:pPr>
      <w:bookmarkStart w:name="heading_35" w:id="35"/>
      <w:r>
        <w:rPr>
          <w:rFonts w:eastAsia="等线" w:ascii="Arial" w:cs="Arial" w:hAnsi="Arial"/>
          <w:b w:val="true"/>
          <w:sz w:val="28"/>
        </w:rPr>
        <w:t>Acceptance criteria</w:t>
      </w:r>
      <w:bookmarkEnd w:id="35"/>
    </w:p>
    <w:p>
      <w:pPr>
        <w:numPr>
          <w:numId w:val="42"/>
        </w:numPr>
        <w:spacing w:before="120" w:after="120" w:line="288" w:lineRule="auto"/>
        <w:ind w:left="0"/>
        <w:jc w:val="left"/>
      </w:pPr>
      <w:r>
        <w:rPr>
          <w:rFonts w:eastAsia="等线" w:ascii="Arial" w:cs="Arial" w:hAnsi="Arial"/>
          <w:sz w:val="22"/>
        </w:rPr>
        <w:t>MAIA supports GST's required Blanket Order/Agreement fields and aligns behaviour with SAP-side agreement logic</w:t>
      </w:r>
    </w:p>
    <w:p>
      <w:pPr>
        <w:numPr>
          <w:numId w:val="43"/>
        </w:numPr>
        <w:spacing w:before="120" w:after="120" w:line="288" w:lineRule="auto"/>
        <w:ind w:left="0"/>
        <w:jc w:val="left"/>
      </w:pPr>
      <w:r>
        <w:rPr>
          <w:rFonts w:eastAsia="等线" w:ascii="Arial" w:cs="Arial" w:hAnsi="Arial"/>
          <w:sz w:val="22"/>
        </w:rPr>
        <w:t>Missing or expired agreement cases are surfaced to the user, not silently applied</w:t>
      </w:r>
    </w:p>
    <w:p>
      <w:pPr>
        <w:pStyle w:val="4"/>
        <w:spacing w:before="260" w:after="120" w:line="288" w:lineRule="auto"/>
        <w:ind w:left="0"/>
        <w:jc w:val="left"/>
        <w:outlineLvl w:val="3"/>
      </w:pPr>
      <w:bookmarkStart w:name="heading_36" w:id="36"/>
      <w:r>
        <w:rPr>
          <w:rFonts w:eastAsia="等线" w:ascii="Arial" w:cs="Arial" w:hAnsi="Arial"/>
          <w:b w:val="true"/>
          <w:sz w:val="28"/>
        </w:rPr>
        <w:t>Confidence: HIGH on internal scope; MEDIUM on implementation until SAP behaviour is fully mapped</w:t>
      </w:r>
      <w:bookmarkEnd w:id="36"/>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7" w:id="37"/>
      <w:r>
        <w:rPr>
          <w:rFonts w:eastAsia="等线" w:ascii="Arial" w:cs="Arial" w:hAnsi="Arial"/>
          <w:b w:val="true"/>
          <w:sz w:val="30"/>
        </w:rPr>
        <w:t>SL-04 — Credit approval / approval workflow behaviour in MAIA</w:t>
      </w:r>
      <w:bookmarkEnd w:id="37"/>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w:t>
        <w:br/>
      </w:r>
      <w:r>
        <w:rPr>
          <w:rFonts w:eastAsia="等线" w:ascii="Arial" w:cs="Arial" w:hAnsi="Arial"/>
          <w:b w:val="true"/>
          <w:sz w:val="22"/>
        </w:rPr>
        <w:t>Source:</w:t>
      </w:r>
      <w:r>
        <w:rPr>
          <w:rFonts w:eastAsia="Consolas" w:ascii="Consolas" w:cs="Consolas" w:hAnsi="Consolas"/>
          <w:sz w:val="22"/>
          <w:shd w:fill="EFF0F1"/>
        </w:rPr>
        <w:t>[FF-RG-A | credit block / approval delay]</w:t>
      </w:r>
      <w:r>
        <w:rPr>
          <w:rFonts w:eastAsia="等线" w:ascii="Arial" w:cs="Arial" w:hAnsi="Arial"/>
          <w:sz w:val="22"/>
        </w:rPr>
        <w:t xml:space="preserve">; independently corroborated — credit-approval authority already held by named individuals </w:t>
      </w:r>
      <w:r>
        <w:rPr>
          <w:rFonts w:eastAsia="Consolas" w:ascii="Consolas" w:cs="Consolas" w:hAnsi="Consolas"/>
          <w:sz w:val="22"/>
          <w:shd w:fill="EFF0F1"/>
        </w:rPr>
        <w:t>[CSV | Pre-Phase 1 Gate #13, Completed]</w:t>
      </w:r>
      <w:r>
        <w:rPr>
          <w:rFonts w:eastAsia="等线" w:ascii="Arial" w:cs="Arial" w:hAnsi="Arial"/>
          <w:sz w:val="22"/>
        </w:rPr>
        <w:t xml:space="preserve">, credit-block notification build marked Completed </w:t>
      </w:r>
      <w:r>
        <w:rPr>
          <w:rFonts w:eastAsia="Consolas" w:ascii="Consolas" w:cs="Consolas" w:hAnsi="Consolas"/>
          <w:sz w:val="22"/>
          <w:shd w:fill="EFF0F1"/>
        </w:rPr>
        <w:t>[CSV | Notifications #1]</w:t>
      </w:r>
    </w:p>
    <w:p>
      <w:pPr>
        <w:pStyle w:val="4"/>
        <w:spacing w:before="260" w:after="120" w:line="288" w:lineRule="auto"/>
        <w:ind w:left="0"/>
        <w:jc w:val="left"/>
        <w:outlineLvl w:val="3"/>
      </w:pPr>
      <w:bookmarkStart w:name="heading_38" w:id="38"/>
      <w:r>
        <w:rPr>
          <w:rFonts w:eastAsia="等线" w:ascii="Arial" w:cs="Arial" w:hAnsi="Arial"/>
          <w:b w:val="true"/>
          <w:sz w:val="28"/>
        </w:rPr>
        <w:t>User-facing flow</w:t>
      </w:r>
      <w:bookmarkEnd w:id="38"/>
    </w:p>
    <w:p>
      <w:pPr>
        <w:numPr>
          <w:numId w:val="44"/>
        </w:numPr>
        <w:spacing w:before="120" w:after="120" w:line="288" w:lineRule="auto"/>
        <w:ind w:left="0"/>
        <w:jc w:val="left"/>
      </w:pPr>
      <w:r>
        <w:rPr>
          <w:rFonts w:eastAsia="等线" w:ascii="Arial" w:cs="Arial" w:hAnsi="Arial"/>
          <w:sz w:val="22"/>
        </w:rPr>
        <w:t>Order hits an approval condition → MAIA flags the requirement → approver receives task/notification → approves, rejects, or comments → decision recorded</w:t>
      </w:r>
    </w:p>
    <w:p>
      <w:pPr>
        <w:numPr>
          <w:numId w:val="45"/>
        </w:numPr>
        <w:spacing w:before="120" w:after="120" w:line="288" w:lineRule="auto"/>
        <w:ind w:left="0"/>
        <w:jc w:val="left"/>
      </w:pPr>
      <w:r>
        <w:rPr>
          <w:rFonts w:eastAsia="等线" w:ascii="Arial" w:cs="Arial" w:hAnsi="Arial"/>
          <w:sz w:val="22"/>
        </w:rPr>
        <w:t>Sales/finance sees the outcome; order proceeds per the decision</w:t>
      </w:r>
    </w:p>
    <w:p>
      <w:pPr>
        <w:pStyle w:val="4"/>
        <w:spacing w:before="260" w:after="120" w:line="288" w:lineRule="auto"/>
        <w:ind w:left="0"/>
        <w:jc w:val="left"/>
        <w:outlineLvl w:val="3"/>
      </w:pPr>
      <w:bookmarkStart w:name="heading_39" w:id="39"/>
      <w:r>
        <w:rPr>
          <w:rFonts w:eastAsia="等线" w:ascii="Arial" w:cs="Arial" w:hAnsi="Arial"/>
          <w:b w:val="true"/>
          <w:sz w:val="28"/>
        </w:rPr>
        <w:t>Acceptance criteria</w:t>
      </w:r>
      <w:bookmarkEnd w:id="39"/>
    </w:p>
    <w:p>
      <w:pPr>
        <w:numPr>
          <w:numId w:val="46"/>
        </w:numPr>
        <w:spacing w:before="120" w:after="120" w:line="288" w:lineRule="auto"/>
        <w:ind w:left="0"/>
        <w:jc w:val="left"/>
      </w:pPr>
      <w:r>
        <w:rPr>
          <w:rFonts w:eastAsia="等线" w:ascii="Arial" w:cs="Arial" w:hAnsi="Arial"/>
          <w:sz w:val="22"/>
        </w:rPr>
        <w:t>Approvers can act inside MAIA; decision trail records actor, time, status, and comments</w:t>
      </w:r>
    </w:p>
    <w:p>
      <w:pPr>
        <w:numPr>
          <w:numId w:val="47"/>
        </w:numPr>
        <w:spacing w:before="120" w:after="120" w:line="288" w:lineRule="auto"/>
        <w:ind w:left="0"/>
        <w:jc w:val="left"/>
      </w:pPr>
      <w:r>
        <w:rPr>
          <w:rFonts w:eastAsia="等线" w:ascii="Arial" w:cs="Arial" w:hAnsi="Arial"/>
          <w:sz w:val="22"/>
        </w:rPr>
        <w:t>SAP-side credit-block release is not assumed unless confirmed in the integration design</w:t>
      </w:r>
    </w:p>
    <w:p>
      <w:pPr>
        <w:pStyle w:val="4"/>
        <w:spacing w:before="260" w:after="120" w:line="288" w:lineRule="auto"/>
        <w:ind w:left="0"/>
        <w:jc w:val="left"/>
        <w:outlineLvl w:val="3"/>
      </w:pPr>
      <w:bookmarkStart w:name="heading_40" w:id="40"/>
      <w:r>
        <w:rPr>
          <w:rFonts w:eastAsia="等线" w:ascii="Arial" w:cs="Arial" w:hAnsi="Arial"/>
          <w:b w:val="true"/>
          <w:sz w:val="28"/>
        </w:rPr>
        <w:t>Confidence: HIGH on MAIA workflow; MEDIUM on SAP release automation</w:t>
      </w:r>
      <w:bookmarkEnd w:id="40"/>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1" w:id="41"/>
      <w:r>
        <w:rPr>
          <w:rFonts w:eastAsia="等线" w:ascii="Arial" w:cs="Arial" w:hAnsi="Arial"/>
          <w:b w:val="true"/>
          <w:sz w:val="30"/>
        </w:rPr>
        <w:t>SL-05 — Payment proof upload and payment entry decision</w:t>
      </w:r>
      <w:bookmarkEnd w:id="41"/>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w:t>
        <w:br/>
      </w:r>
      <w:r>
        <w:rPr>
          <w:rFonts w:eastAsia="等线" w:ascii="Arial" w:cs="Arial" w:hAnsi="Arial"/>
          <w:b w:val="true"/>
          <w:sz w:val="22"/>
        </w:rPr>
        <w:t>Source:</w:t>
      </w:r>
      <w:r>
        <w:rPr>
          <w:rFonts w:eastAsia="Consolas" w:ascii="Consolas" w:cs="Consolas" w:hAnsi="Consolas"/>
          <w:sz w:val="22"/>
          <w:shd w:fill="EFF0F1"/>
        </w:rPr>
        <w:t>[FF-RG-A | payment proof workflow]</w:t>
      </w:r>
      <w:r>
        <w:rPr>
          <w:rFonts w:eastAsia="等线" w:ascii="Arial" w:cs="Arial" w:hAnsi="Arial"/>
          <w:sz w:val="22"/>
        </w:rPr>
        <w:t xml:space="preserve">; corroborated — payment-proof → draft payment entry workflow marked Completed </w:t>
      </w:r>
      <w:r>
        <w:rPr>
          <w:rFonts w:eastAsia="Consolas" w:ascii="Consolas" w:cs="Consolas" w:hAnsi="Consolas"/>
          <w:sz w:val="22"/>
          <w:shd w:fill="EFF0F1"/>
        </w:rPr>
        <w:t>[CSV | Core MAIA Extension #6]</w:t>
      </w:r>
    </w:p>
    <w:p>
      <w:pPr>
        <w:pStyle w:val="4"/>
        <w:spacing w:before="260" w:after="120" w:line="288" w:lineRule="auto"/>
        <w:ind w:left="0"/>
        <w:jc w:val="left"/>
        <w:outlineLvl w:val="3"/>
      </w:pPr>
      <w:bookmarkStart w:name="heading_42" w:id="42"/>
      <w:r>
        <w:rPr>
          <w:rFonts w:eastAsia="等线" w:ascii="Arial" w:cs="Arial" w:hAnsi="Arial"/>
          <w:b w:val="true"/>
          <w:sz w:val="28"/>
        </w:rPr>
        <w:t>User-facing flow</w:t>
      </w:r>
      <w:bookmarkEnd w:id="42"/>
    </w:p>
    <w:p>
      <w:pPr>
        <w:numPr>
          <w:numId w:val="48"/>
        </w:numPr>
        <w:spacing w:before="120" w:after="120" w:line="288" w:lineRule="auto"/>
        <w:ind w:left="0"/>
        <w:jc w:val="left"/>
      </w:pPr>
      <w:r>
        <w:rPr>
          <w:rFonts w:eastAsia="等线" w:ascii="Arial" w:cs="Arial" w:hAnsi="Arial"/>
          <w:sz w:val="22"/>
        </w:rPr>
        <w:t>User uploads payment proof → MAIA reads/stores the attachment → asks whether to create a payment receipt or payment voucher → creates the draft payment entry with attachment</w:t>
      </w:r>
    </w:p>
    <w:p>
      <w:pPr>
        <w:numPr>
          <w:numId w:val="49"/>
        </w:numPr>
        <w:spacing w:before="120" w:after="120" w:line="288" w:lineRule="auto"/>
        <w:ind w:left="0"/>
        <w:jc w:val="left"/>
      </w:pPr>
      <w:r>
        <w:rPr>
          <w:rFonts w:eastAsia="等线" w:ascii="Arial" w:cs="Arial" w:hAnsi="Arial"/>
          <w:sz w:val="22"/>
        </w:rPr>
        <w:t>Reconciliation/allocation to invoices remains manual, user-instructed</w:t>
      </w:r>
    </w:p>
    <w:p>
      <w:pPr>
        <w:pStyle w:val="4"/>
        <w:spacing w:before="260" w:after="120" w:line="288" w:lineRule="auto"/>
        <w:ind w:left="0"/>
        <w:jc w:val="left"/>
        <w:outlineLvl w:val="3"/>
      </w:pPr>
      <w:bookmarkStart w:name="heading_43" w:id="43"/>
      <w:r>
        <w:rPr>
          <w:rFonts w:eastAsia="等线" w:ascii="Arial" w:cs="Arial" w:hAnsi="Arial"/>
          <w:b w:val="true"/>
          <w:sz w:val="28"/>
        </w:rPr>
        <w:t>Acceptance criteria</w:t>
      </w:r>
      <w:bookmarkEnd w:id="43"/>
    </w:p>
    <w:p>
      <w:pPr>
        <w:numPr>
          <w:numId w:val="50"/>
        </w:numPr>
        <w:spacing w:before="120" w:after="120" w:line="288" w:lineRule="auto"/>
        <w:ind w:left="0"/>
        <w:jc w:val="left"/>
      </w:pPr>
      <w:r>
        <w:rPr>
          <w:rFonts w:eastAsia="等线" w:ascii="Arial" w:cs="Arial" w:hAnsi="Arial"/>
          <w:sz w:val="22"/>
        </w:rPr>
        <w:t>MAIA never finalises a payment document without user confirmation</w:t>
      </w:r>
    </w:p>
    <w:p>
      <w:pPr>
        <w:numPr>
          <w:numId w:val="51"/>
        </w:numPr>
        <w:spacing w:before="120" w:after="120" w:line="288" w:lineRule="auto"/>
        <w:ind w:left="0"/>
        <w:jc w:val="left"/>
      </w:pPr>
      <w:r>
        <w:rPr>
          <w:rFonts w:eastAsia="等线" w:ascii="Arial" w:cs="Arial" w:hAnsi="Arial"/>
          <w:sz w:val="22"/>
        </w:rPr>
        <w:t>Payment document status and SAP writeback status are visible</w:t>
      </w:r>
    </w:p>
    <w:p>
      <w:pPr>
        <w:pStyle w:val="4"/>
        <w:spacing w:before="260" w:after="120" w:line="288" w:lineRule="auto"/>
        <w:ind w:left="0"/>
        <w:jc w:val="left"/>
        <w:outlineLvl w:val="3"/>
      </w:pPr>
      <w:bookmarkStart w:name="heading_44" w:id="44"/>
      <w:r>
        <w:rPr>
          <w:rFonts w:eastAsia="等线" w:ascii="Arial" w:cs="Arial" w:hAnsi="Arial"/>
          <w:b w:val="true"/>
          <w:sz w:val="28"/>
        </w:rPr>
        <w:t>Confidence: HIGH on workflow; MEDIUM on SAP payment object mapping</w:t>
      </w:r>
      <w:bookmarkEnd w:id="44"/>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5" w:id="45"/>
      <w:r>
        <w:rPr>
          <w:rFonts w:eastAsia="等线" w:ascii="Arial" w:cs="Arial" w:hAnsi="Arial"/>
          <w:b w:val="true"/>
          <w:sz w:val="30"/>
        </w:rPr>
        <w:t>SL-06 — Invoice / document retrieval by users</w:t>
      </w:r>
      <w:bookmarkEnd w:id="45"/>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w:t>
        <w:br/>
      </w:r>
      <w:r>
        <w:rPr>
          <w:rFonts w:eastAsia="等线" w:ascii="Arial" w:cs="Arial" w:hAnsi="Arial"/>
          <w:b w:val="true"/>
          <w:sz w:val="22"/>
        </w:rPr>
        <w:t>Source:</w:t>
      </w:r>
      <w:r>
        <w:rPr>
          <w:rFonts w:eastAsia="Consolas" w:ascii="Consolas" w:cs="Consolas" w:hAnsi="Consolas"/>
          <w:sz w:val="22"/>
          <w:shd w:fill="EFF0F1"/>
        </w:rPr>
        <w:t>[FF-RG-A | invoice retrieval request]</w:t>
      </w:r>
      <w:r>
        <w:rPr>
          <w:rFonts w:eastAsia="等线" w:ascii="Arial" w:cs="Arial" w:hAnsi="Arial"/>
          <w:sz w:val="22"/>
        </w:rPr>
        <w:t xml:space="preserve">; corroborated — invoice retrieval by salesperson (mobile) marked Completed </w:t>
      </w:r>
      <w:r>
        <w:rPr>
          <w:rFonts w:eastAsia="Consolas" w:ascii="Consolas" w:cs="Consolas" w:hAnsi="Consolas"/>
          <w:sz w:val="22"/>
          <w:shd w:fill="EFF0F1"/>
        </w:rPr>
        <w:t>[CSV | Core MAIA Extension #7]</w:t>
      </w:r>
    </w:p>
    <w:p>
      <w:pPr>
        <w:pStyle w:val="4"/>
        <w:spacing w:before="260" w:after="120" w:line="288" w:lineRule="auto"/>
        <w:ind w:left="0"/>
        <w:jc w:val="left"/>
        <w:outlineLvl w:val="3"/>
      </w:pPr>
      <w:bookmarkStart w:name="heading_46" w:id="46"/>
      <w:r>
        <w:rPr>
          <w:rFonts w:eastAsia="等线" w:ascii="Arial" w:cs="Arial" w:hAnsi="Arial"/>
          <w:b w:val="true"/>
          <w:sz w:val="28"/>
        </w:rPr>
        <w:t>User-facing flow</w:t>
      </w:r>
      <w:bookmarkEnd w:id="46"/>
    </w:p>
    <w:p>
      <w:pPr>
        <w:numPr>
          <w:numId w:val="52"/>
        </w:numPr>
        <w:spacing w:before="120" w:after="120" w:line="288" w:lineRule="auto"/>
        <w:ind w:left="0"/>
        <w:jc w:val="left"/>
      </w:pPr>
      <w:r>
        <w:rPr>
          <w:rFonts w:eastAsia="等线" w:ascii="Arial" w:cs="Arial" w:hAnsi="Arial"/>
          <w:sz w:val="22"/>
        </w:rPr>
        <w:t>Sales user requests an invoice or related document → MAIA searches synced/linked records → returns matches → user downloads or shares as permitted</w:t>
      </w:r>
    </w:p>
    <w:p>
      <w:pPr>
        <w:pStyle w:val="4"/>
        <w:spacing w:before="260" w:after="120" w:line="288" w:lineRule="auto"/>
        <w:ind w:left="0"/>
        <w:jc w:val="left"/>
        <w:outlineLvl w:val="3"/>
      </w:pPr>
      <w:bookmarkStart w:name="heading_47" w:id="47"/>
      <w:r>
        <w:rPr>
          <w:rFonts w:eastAsia="等线" w:ascii="Arial" w:cs="Arial" w:hAnsi="Arial"/>
          <w:b w:val="true"/>
          <w:sz w:val="28"/>
        </w:rPr>
        <w:t>Acceptance criteria</w:t>
      </w:r>
      <w:bookmarkEnd w:id="47"/>
    </w:p>
    <w:p>
      <w:pPr>
        <w:numPr>
          <w:numId w:val="53"/>
        </w:numPr>
        <w:spacing w:before="120" w:after="120" w:line="288" w:lineRule="auto"/>
        <w:ind w:left="0"/>
        <w:jc w:val="left"/>
      </w:pPr>
      <w:r>
        <w:rPr>
          <w:rFonts w:eastAsia="等线" w:ascii="Arial" w:cs="Arial" w:hAnsi="Arial"/>
          <w:sz w:val="22"/>
        </w:rPr>
        <w:t>Access respects user permissions; SAP document reference is visible where applicable</w:t>
      </w:r>
    </w:p>
    <w:p>
      <w:pPr>
        <w:pStyle w:val="4"/>
        <w:spacing w:before="260" w:after="120" w:line="288" w:lineRule="auto"/>
        <w:ind w:left="0"/>
        <w:jc w:val="left"/>
        <w:outlineLvl w:val="3"/>
      </w:pPr>
      <w:bookmarkStart w:name="heading_48" w:id="48"/>
      <w:r>
        <w:rPr>
          <w:rFonts w:eastAsia="等线" w:ascii="Arial" w:cs="Arial" w:hAnsi="Arial"/>
          <w:b w:val="true"/>
          <w:sz w:val="28"/>
        </w:rPr>
        <w:t>Confidence: HIGH on scope; MEDIUM on available SAP document access</w:t>
      </w:r>
      <w:bookmarkEnd w:id="48"/>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9" w:id="49"/>
      <w:r>
        <w:rPr>
          <w:rFonts w:eastAsia="等线" w:ascii="Arial" w:cs="Arial" w:hAnsi="Arial"/>
          <w:b w:val="true"/>
          <w:sz w:val="30"/>
        </w:rPr>
        <w:t>SL-07 — Password-protected SOA portal link</w:t>
      </w:r>
      <w:bookmarkEnd w:id="49"/>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 NSD-03 still open</w:t>
        <w:br/>
      </w:r>
      <w:r>
        <w:rPr>
          <w:rFonts w:eastAsia="等线" w:ascii="Arial" w:cs="Arial" w:hAnsi="Arial"/>
          <w:b w:val="true"/>
          <w:sz w:val="22"/>
        </w:rPr>
        <w:t>Source:</w:t>
      </w:r>
      <w:r>
        <w:rPr>
          <w:rFonts w:eastAsia="Consolas" w:ascii="Consolas" w:cs="Consolas" w:hAnsi="Consolas"/>
          <w:sz w:val="22"/>
          <w:shd w:fill="EFF0F1"/>
        </w:rPr>
        <w:t>[FF-RG-A | SOA / secure link concern]</w:t>
      </w:r>
    </w:p>
    <w:p>
      <w:pPr>
        <w:spacing w:before="120" w:after="120" w:line="288" w:lineRule="auto"/>
        <w:ind w:left="0"/>
        <w:jc w:val="left"/>
      </w:pPr>
      <w:r>
        <w:rPr>
          <w:rFonts w:eastAsia="等线" w:ascii="Arial" w:cs="Arial" w:hAnsi="Arial"/>
          <w:sz w:val="22"/>
        </w:rPr>
        <w:t>No corroboration found elsewhere in the KB corpus for this self-service portal design — this is the single largest piece of scope this v2's own source set would have missed entirely without v1.2. Treat v1.2 as the authoritative source for SOA design detail going forward.</w:t>
      </w:r>
    </w:p>
    <w:p>
      <w:pPr>
        <w:pStyle w:val="4"/>
        <w:spacing w:before="260" w:after="120" w:line="288" w:lineRule="auto"/>
        <w:ind w:left="0"/>
        <w:jc w:val="left"/>
        <w:outlineLvl w:val="3"/>
      </w:pPr>
      <w:bookmarkStart w:name="heading_50" w:id="50"/>
      <w:r>
        <w:rPr>
          <w:rFonts w:eastAsia="等线" w:ascii="Arial" w:cs="Arial" w:hAnsi="Arial"/>
          <w:b w:val="true"/>
          <w:sz w:val="28"/>
        </w:rPr>
        <w:t>User-facing flow</w:t>
      </w:r>
      <w:bookmarkEnd w:id="50"/>
    </w:p>
    <w:p>
      <w:pPr>
        <w:numPr>
          <w:numId w:val="54"/>
        </w:numPr>
        <w:spacing w:before="120" w:after="120" w:line="288" w:lineRule="auto"/>
        <w:ind w:left="0"/>
        <w:jc w:val="left"/>
      </w:pPr>
      <w:r>
        <w:rPr>
          <w:rFonts w:eastAsia="等线" w:ascii="Arial" w:cs="Arial" w:hAnsi="Arial"/>
          <w:sz w:val="22"/>
        </w:rPr>
        <w:t>Sales user requests an SOA link → MAIA generates a password-protected, time-limited, revocable link → customer opens a mobile-responsive portal showing SOA, invoices, credit notes, orders, and related documents → customer self-service downloads</w:t>
      </w:r>
    </w:p>
    <w:p>
      <w:pPr>
        <w:pStyle w:val="4"/>
        <w:spacing w:before="260" w:after="120" w:line="288" w:lineRule="auto"/>
        <w:ind w:left="0"/>
        <w:jc w:val="left"/>
        <w:outlineLvl w:val="3"/>
      </w:pPr>
      <w:bookmarkStart w:name="heading_51" w:id="51"/>
      <w:r>
        <w:rPr>
          <w:rFonts w:eastAsia="等线" w:ascii="Arial" w:cs="Arial" w:hAnsi="Arial"/>
          <w:b w:val="true"/>
          <w:sz w:val="28"/>
        </w:rPr>
        <w:t>Acceptance criteria</w:t>
      </w:r>
      <w:bookmarkEnd w:id="51"/>
    </w:p>
    <w:p>
      <w:pPr>
        <w:numPr>
          <w:numId w:val="55"/>
        </w:numPr>
        <w:spacing w:before="120" w:after="120" w:line="288" w:lineRule="auto"/>
        <w:ind w:left="0"/>
        <w:jc w:val="left"/>
      </w:pPr>
      <w:r>
        <w:rPr>
          <w:rFonts w:eastAsia="等线" w:ascii="Arial" w:cs="Arial" w:hAnsi="Arial"/>
          <w:sz w:val="22"/>
        </w:rPr>
        <w:t>Portal exposes only documents within the intended customer/account scope; access revocation takes effect after user action</w:t>
      </w:r>
    </w:p>
    <w:p>
      <w:pPr>
        <w:pStyle w:val="4"/>
        <w:spacing w:before="260" w:after="120" w:line="288" w:lineRule="auto"/>
        <w:ind w:left="0"/>
        <w:jc w:val="left"/>
        <w:outlineLvl w:val="3"/>
      </w:pPr>
      <w:bookmarkStart w:name="heading_52" w:id="52"/>
      <w:r>
        <w:rPr>
          <w:rFonts w:eastAsia="等线" w:ascii="Arial" w:cs="Arial" w:hAnsi="Arial"/>
          <w:b w:val="true"/>
          <w:sz w:val="28"/>
        </w:rPr>
        <w:t>Confidence: HIGH on scope; MEDIUM on security design detail</w:t>
      </w:r>
      <w:bookmarkEnd w:id="52"/>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3" w:id="53"/>
      <w:r>
        <w:rPr>
          <w:rFonts w:eastAsia="等线" w:ascii="Arial" w:cs="Arial" w:hAnsi="Arial"/>
          <w:b w:val="true"/>
          <w:sz w:val="30"/>
        </w:rPr>
        <w:t>SL-08 — Client document format matching</w:t>
      </w:r>
      <w:bookmarkEnd w:id="53"/>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 NSD-01 still open (blocking)</w:t>
        <w:br/>
      </w:r>
      <w:r>
        <w:rPr>
          <w:rFonts w:eastAsia="等线" w:ascii="Arial" w:cs="Arial" w:hAnsi="Arial"/>
          <w:b w:val="true"/>
          <w:sz w:val="22"/>
        </w:rPr>
        <w:t>Source:</w:t>
      </w:r>
      <w:r>
        <w:rPr>
          <w:rFonts w:eastAsia="Consolas" w:ascii="Consolas" w:cs="Consolas" w:hAnsi="Consolas"/>
          <w:sz w:val="22"/>
          <w:shd w:fill="EFF0F1"/>
        </w:rPr>
        <w:t>[FF-RG-A | Crystal Reports / document format]</w:t>
      </w:r>
      <w:r>
        <w:rPr>
          <w:rFonts w:eastAsia="等线" w:ascii="Arial" w:cs="Arial" w:hAnsi="Arial"/>
          <w:sz w:val="22"/>
        </w:rPr>
        <w:t xml:space="preserve">; independently corroborated as a hard, "non-negotiable" requirement </w:t>
      </w:r>
      <w:r>
        <w:rPr>
          <w:rFonts w:eastAsia="Consolas" w:ascii="Consolas" w:cs="Consolas" w:hAnsi="Consolas"/>
          <w:sz w:val="22"/>
          <w:shd w:fill="EFF0F1"/>
        </w:rPr>
        <w:t>[SOW | §2.3]</w:t>
      </w:r>
    </w:p>
    <w:p>
      <w:pPr>
        <w:pStyle w:val="4"/>
        <w:spacing w:before="260" w:after="120" w:line="288" w:lineRule="auto"/>
        <w:ind w:left="0"/>
        <w:jc w:val="left"/>
        <w:outlineLvl w:val="3"/>
      </w:pPr>
      <w:bookmarkStart w:name="heading_54" w:id="54"/>
      <w:r>
        <w:rPr>
          <w:rFonts w:eastAsia="等线" w:ascii="Arial" w:cs="Arial" w:hAnsi="Arial"/>
          <w:b w:val="true"/>
          <w:sz w:val="28"/>
        </w:rPr>
        <w:t>User-facing flow</w:t>
      </w:r>
      <w:bookmarkEnd w:id="54"/>
    </w:p>
    <w:p>
      <w:pPr>
        <w:numPr>
          <w:numId w:val="56"/>
        </w:numPr>
        <w:spacing w:before="120" w:after="120" w:line="288" w:lineRule="auto"/>
        <w:ind w:left="0"/>
        <w:jc w:val="left"/>
      </w:pPr>
      <w:r>
        <w:rPr>
          <w:rFonts w:eastAsia="等线" w:ascii="Arial" w:cs="Arial" w:hAnsi="Arial"/>
          <w:sz w:val="22"/>
        </w:rPr>
        <w:t>User generates a quotation/order/invoice/other supported document in MAIA → MAIA outputs using GST-approved layout → user reviews, downloads, or sends</w:t>
      </w:r>
    </w:p>
    <w:p>
      <w:pPr>
        <w:pStyle w:val="4"/>
        <w:spacing w:before="260" w:after="120" w:line="288" w:lineRule="auto"/>
        <w:ind w:left="0"/>
        <w:jc w:val="left"/>
        <w:outlineLvl w:val="3"/>
      </w:pPr>
      <w:bookmarkStart w:name="heading_55" w:id="55"/>
      <w:r>
        <w:rPr>
          <w:rFonts w:eastAsia="等线" w:ascii="Arial" w:cs="Arial" w:hAnsi="Arial"/>
          <w:b w:val="true"/>
          <w:sz w:val="28"/>
        </w:rPr>
        <w:t>Acceptance criteria</w:t>
      </w:r>
      <w:bookmarkEnd w:id="55"/>
    </w:p>
    <w:p>
      <w:pPr>
        <w:numPr>
          <w:numId w:val="57"/>
        </w:numPr>
        <w:spacing w:before="120" w:after="120" w:line="288" w:lineRule="auto"/>
        <w:ind w:left="0"/>
        <w:jc w:val="left"/>
      </w:pPr>
      <w:r>
        <w:rPr>
          <w:rFonts w:eastAsia="等线" w:ascii="Arial" w:cs="Arial" w:hAnsi="Arial"/>
          <w:sz w:val="22"/>
        </w:rPr>
        <w:t>GST provides sample formats for every in-scope document type; a missing sample is treated as a blocker for that document type</w:t>
      </w:r>
    </w:p>
    <w:p>
      <w:pPr>
        <w:numPr>
          <w:numId w:val="58"/>
        </w:numPr>
        <w:spacing w:before="120" w:after="120" w:line="288" w:lineRule="auto"/>
        <w:ind w:left="0"/>
        <w:jc w:val="left"/>
      </w:pPr>
      <w:r>
        <w:rPr>
          <w:rFonts w:eastAsia="等线" w:ascii="Arial" w:cs="Arial" w:hAnsi="Arial"/>
          <w:sz w:val="22"/>
        </w:rPr>
        <w:t xml:space="preserve">All 6 document types (QT, SO, DO, Invoice, Pick List, CN) still show "Not Started" or awaiting client PDF samples </w:t>
      </w:r>
      <w:r>
        <w:rPr>
          <w:rFonts w:eastAsia="Consolas" w:ascii="Consolas" w:cs="Consolas" w:hAnsi="Consolas"/>
          <w:sz w:val="22"/>
          <w:shd w:fill="EFF0F1"/>
        </w:rPr>
        <w:t>[CSV | PDF Generation section]</w:t>
      </w:r>
    </w:p>
    <w:p>
      <w:pPr>
        <w:pStyle w:val="4"/>
        <w:spacing w:before="260" w:after="120" w:line="288" w:lineRule="auto"/>
        <w:ind w:left="0"/>
        <w:jc w:val="left"/>
        <w:outlineLvl w:val="3"/>
      </w:pPr>
      <w:bookmarkStart w:name="heading_56" w:id="56"/>
      <w:r>
        <w:rPr>
          <w:rFonts w:eastAsia="等线" w:ascii="Arial" w:cs="Arial" w:hAnsi="Arial"/>
          <w:b w:val="true"/>
          <w:sz w:val="28"/>
        </w:rPr>
        <w:t>Confidence: HIGH on scope; LOW on document-specific acceptance until samples are received</w:t>
      </w:r>
      <w:bookmarkEnd w:id="56"/>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7" w:id="57"/>
      <w:r>
        <w:rPr>
          <w:rFonts w:eastAsia="等线" w:ascii="Arial" w:cs="Arial" w:hAnsi="Arial"/>
          <w:b w:val="true"/>
          <w:sz w:val="30"/>
        </w:rPr>
        <w:t>SL-09 — Inventory visual cue on document item tables</w:t>
      </w:r>
      <w:bookmarkEnd w:id="57"/>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w:t>
        <w:br/>
      </w:r>
      <w:r>
        <w:rPr>
          <w:rFonts w:eastAsia="等线" w:ascii="Arial" w:cs="Arial" w:hAnsi="Arial"/>
          <w:b w:val="true"/>
          <w:sz w:val="22"/>
        </w:rPr>
        <w:t>Source:</w:t>
      </w:r>
      <w:r>
        <w:rPr>
          <w:rFonts w:eastAsia="Consolas" w:ascii="Consolas" w:cs="Consolas" w:hAnsi="Consolas"/>
          <w:sz w:val="22"/>
          <w:shd w:fill="EFF0F1"/>
        </w:rPr>
        <w:t>[FF-RG-A | committed stock / inventory visibility]</w:t>
      </w:r>
    </w:p>
    <w:p>
      <w:pPr>
        <w:pStyle w:val="4"/>
        <w:spacing w:before="260" w:after="120" w:line="288" w:lineRule="auto"/>
        <w:ind w:left="0"/>
        <w:jc w:val="left"/>
        <w:outlineLvl w:val="3"/>
      </w:pPr>
      <w:bookmarkStart w:name="heading_58" w:id="58"/>
      <w:r>
        <w:rPr>
          <w:rFonts w:eastAsia="等线" w:ascii="Arial" w:cs="Arial" w:hAnsi="Arial"/>
          <w:b w:val="true"/>
          <w:sz w:val="28"/>
        </w:rPr>
        <w:t>User-facing flow</w:t>
      </w:r>
      <w:bookmarkEnd w:id="58"/>
    </w:p>
    <w:p>
      <w:pPr>
        <w:numPr>
          <w:numId w:val="59"/>
        </w:numPr>
        <w:spacing w:before="120" w:after="120" w:line="288" w:lineRule="auto"/>
        <w:ind w:left="0"/>
        <w:jc w:val="left"/>
      </w:pPr>
      <w:r>
        <w:rPr>
          <w:rFonts w:eastAsia="等线" w:ascii="Arial" w:cs="Arial" w:hAnsi="Arial"/>
          <w:sz w:val="22"/>
        </w:rPr>
        <w:t>User adds an item to a quotation/SO/DN → MAIA displays actual/available/reserved/producible quantity beside the line → user decides whether to proceed, reduce quantity, or choose an alternative</w:t>
      </w:r>
    </w:p>
    <w:p>
      <w:pPr>
        <w:pStyle w:val="4"/>
        <w:spacing w:before="260" w:after="120" w:line="288" w:lineRule="auto"/>
        <w:ind w:left="0"/>
        <w:jc w:val="left"/>
        <w:outlineLvl w:val="3"/>
      </w:pPr>
      <w:bookmarkStart w:name="heading_59" w:id="59"/>
      <w:r>
        <w:rPr>
          <w:rFonts w:eastAsia="等线" w:ascii="Arial" w:cs="Arial" w:hAnsi="Arial"/>
          <w:b w:val="true"/>
          <w:sz w:val="28"/>
        </w:rPr>
        <w:t>Acceptance criteria</w:t>
      </w:r>
      <w:bookmarkEnd w:id="59"/>
    </w:p>
    <w:p>
      <w:pPr>
        <w:numPr>
          <w:numId w:val="60"/>
        </w:numPr>
        <w:spacing w:before="120" w:after="120" w:line="288" w:lineRule="auto"/>
        <w:ind w:left="0"/>
        <w:jc w:val="left"/>
      </w:pPr>
      <w:r>
        <w:rPr>
          <w:rFonts w:eastAsia="等线" w:ascii="Arial" w:cs="Arial" w:hAnsi="Arial"/>
          <w:sz w:val="22"/>
        </w:rPr>
        <w:t>Producible quantity appears only where MAIA-configured BOM/Product Bundle data exists</w:t>
      </w:r>
    </w:p>
    <w:p>
      <w:pPr>
        <w:numPr>
          <w:numId w:val="61"/>
        </w:numPr>
        <w:spacing w:before="120" w:after="120" w:line="288" w:lineRule="auto"/>
        <w:ind w:left="0"/>
        <w:jc w:val="left"/>
      </w:pPr>
      <w:r>
        <w:rPr>
          <w:rFonts w:eastAsia="等线" w:ascii="Arial" w:cs="Arial" w:hAnsi="Arial"/>
          <w:sz w:val="22"/>
        </w:rPr>
        <w:t xml:space="preserve">UI does not imply GST's custom SAP stock-transformation workflow is supported — this is a MAIA-side cue only, it does </w:t>
      </w:r>
      <w:r>
        <w:rPr>
          <w:rFonts w:eastAsia="等线" w:ascii="Arial" w:cs="Arial" w:hAnsi="Arial"/>
          <w:b w:val="true"/>
          <w:sz w:val="22"/>
        </w:rPr>
        <w:t>not</w:t>
      </w:r>
      <w:r>
        <w:rPr>
          <w:rFonts w:eastAsia="等线" w:ascii="Arial" w:cs="Arial" w:hAnsi="Arial"/>
          <w:sz w:val="22"/>
        </w:rPr>
        <w:t xml:space="preserve"> mean MAIA models the transformation engine itself (see OOS-02)</w:t>
      </w:r>
    </w:p>
    <w:p>
      <w:pPr>
        <w:pStyle w:val="4"/>
        <w:spacing w:before="260" w:after="120" w:line="288" w:lineRule="auto"/>
        <w:ind w:left="0"/>
        <w:jc w:val="left"/>
        <w:outlineLvl w:val="3"/>
      </w:pPr>
      <w:bookmarkStart w:name="heading_60" w:id="60"/>
      <w:r>
        <w:rPr>
          <w:rFonts w:eastAsia="等线" w:ascii="Arial" w:cs="Arial" w:hAnsi="Arial"/>
          <w:b w:val="true"/>
          <w:sz w:val="28"/>
        </w:rPr>
        <w:t>Confidence: HIGH on the MAIA-side cue; MEDIUM on accuracy (SAP sync dependency)</w:t>
      </w:r>
      <w:bookmarkEnd w:id="60"/>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1" w:id="61"/>
      <w:r>
        <w:rPr>
          <w:rFonts w:eastAsia="等线" w:ascii="Arial" w:cs="Arial" w:hAnsi="Arial"/>
          <w:b w:val="true"/>
          <w:sz w:val="30"/>
        </w:rPr>
        <w:t>SL-10 — Order listing, fulfillment percentage, and order aging</w:t>
      </w:r>
      <w:bookmarkEnd w:id="61"/>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w:t>
        <w:br/>
      </w:r>
      <w:r>
        <w:rPr>
          <w:rFonts w:eastAsia="等线" w:ascii="Arial" w:cs="Arial" w:hAnsi="Arial"/>
          <w:b w:val="true"/>
          <w:sz w:val="22"/>
        </w:rPr>
        <w:t>Source:</w:t>
      </w:r>
      <w:r>
        <w:rPr>
          <w:rFonts w:eastAsia="Consolas" w:ascii="Consolas" w:cs="Consolas" w:hAnsi="Consolas"/>
          <w:sz w:val="22"/>
          <w:shd w:fill="EFF0F1"/>
        </w:rPr>
        <w:t>[FF-RG-A | stale order / fulfillment visibility]</w:t>
      </w:r>
    </w:p>
    <w:p>
      <w:pPr>
        <w:pStyle w:val="4"/>
        <w:spacing w:before="260" w:after="120" w:line="288" w:lineRule="auto"/>
        <w:ind w:left="0"/>
        <w:jc w:val="left"/>
        <w:outlineLvl w:val="3"/>
      </w:pPr>
      <w:bookmarkStart w:name="heading_62" w:id="62"/>
      <w:r>
        <w:rPr>
          <w:rFonts w:eastAsia="等线" w:ascii="Arial" w:cs="Arial" w:hAnsi="Arial"/>
          <w:b w:val="true"/>
          <w:sz w:val="28"/>
        </w:rPr>
        <w:t>User-facing flow</w:t>
      </w:r>
      <w:bookmarkEnd w:id="62"/>
    </w:p>
    <w:p>
      <w:pPr>
        <w:numPr>
          <w:numId w:val="62"/>
        </w:numPr>
        <w:spacing w:before="120" w:after="120" w:line="288" w:lineRule="auto"/>
        <w:ind w:left="0"/>
        <w:jc w:val="left"/>
      </w:pPr>
      <w:r>
        <w:rPr>
          <w:rFonts w:eastAsia="等线" w:ascii="Arial" w:cs="Arial" w:hAnsi="Arial"/>
          <w:sz w:val="22"/>
        </w:rPr>
        <w:t>User opens the order listing → sees status, fulfillment percentage, and order age → filters/sorts by aging or fulfillment → opens order detail to act</w:t>
      </w:r>
    </w:p>
    <w:p>
      <w:pPr>
        <w:pStyle w:val="4"/>
        <w:spacing w:before="260" w:after="120" w:line="288" w:lineRule="auto"/>
        <w:ind w:left="0"/>
        <w:jc w:val="left"/>
        <w:outlineLvl w:val="3"/>
      </w:pPr>
      <w:bookmarkStart w:name="heading_63" w:id="63"/>
      <w:r>
        <w:rPr>
          <w:rFonts w:eastAsia="等线" w:ascii="Arial" w:cs="Arial" w:hAnsi="Arial"/>
          <w:b w:val="true"/>
          <w:sz w:val="28"/>
        </w:rPr>
        <w:t>Acceptance criteria</w:t>
      </w:r>
      <w:bookmarkEnd w:id="63"/>
    </w:p>
    <w:p>
      <w:pPr>
        <w:numPr>
          <w:numId w:val="63"/>
        </w:numPr>
        <w:spacing w:before="120" w:after="120" w:line="288" w:lineRule="auto"/>
        <w:ind w:left="0"/>
        <w:jc w:val="left"/>
      </w:pPr>
      <w:r>
        <w:rPr>
          <w:rFonts w:eastAsia="等线" w:ascii="Arial" w:cs="Arial" w:hAnsi="Arial"/>
          <w:sz w:val="22"/>
        </w:rPr>
        <w:t>Users can identify slow-moving or long-open orders directly from the listing</w:t>
      </w:r>
    </w:p>
    <w:p>
      <w:pPr>
        <w:pStyle w:val="4"/>
        <w:spacing w:before="260" w:after="120" w:line="288" w:lineRule="auto"/>
        <w:ind w:left="0"/>
        <w:jc w:val="left"/>
        <w:outlineLvl w:val="3"/>
      </w:pPr>
      <w:bookmarkStart w:name="heading_64" w:id="64"/>
      <w:r>
        <w:rPr>
          <w:rFonts w:eastAsia="等线" w:ascii="Arial" w:cs="Arial" w:hAnsi="Arial"/>
          <w:b w:val="true"/>
          <w:sz w:val="28"/>
        </w:rPr>
        <w:t>Confidence: HIGH</w:t>
      </w:r>
      <w:bookmarkEnd w:id="64"/>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5" w:id="65"/>
      <w:r>
        <w:rPr>
          <w:rFonts w:eastAsia="等线" w:ascii="Arial" w:cs="Arial" w:hAnsi="Arial"/>
          <w:b w:val="true"/>
          <w:sz w:val="30"/>
        </w:rPr>
        <w:t>SL-11 — MAIA-created document writeback to SAP</w:t>
      </w:r>
      <w:bookmarkEnd w:id="65"/>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w:t>
        <w:br/>
      </w:r>
      <w:r>
        <w:rPr>
          <w:rFonts w:eastAsia="等线" w:ascii="Arial" w:cs="Arial" w:hAnsi="Arial"/>
          <w:b w:val="true"/>
          <w:sz w:val="22"/>
        </w:rPr>
        <w:t>Source:</w:t>
      </w:r>
      <w:r>
        <w:rPr>
          <w:rFonts w:eastAsia="Consolas" w:ascii="Consolas" w:cs="Consolas" w:hAnsi="Consolas"/>
          <w:sz w:val="22"/>
          <w:shd w:fill="EFF0F1"/>
        </w:rPr>
        <w:t>[FF-RG-A | SAP integration dependency][SAP-VENDOR | MAIA → middleware → SAP]</w:t>
      </w:r>
      <w:r>
        <w:rPr>
          <w:rFonts w:eastAsia="等线" w:ascii="Arial" w:cs="Arial" w:hAnsi="Arial"/>
          <w:sz w:val="22"/>
        </w:rPr>
        <w:t xml:space="preserve">; corroborated by </w:t>
      </w:r>
      <w:r>
        <w:rPr>
          <w:rFonts w:eastAsia="Consolas" w:ascii="Consolas" w:cs="Consolas" w:hAnsi="Consolas"/>
          <w:sz w:val="22"/>
          <w:shd w:fill="EFF0F1"/>
        </w:rPr>
        <w:t>[SOW | §2.4]</w:t>
      </w:r>
    </w:p>
    <w:p>
      <w:pPr>
        <w:pStyle w:val="4"/>
        <w:spacing w:before="260" w:after="120" w:line="288" w:lineRule="auto"/>
        <w:ind w:left="0"/>
        <w:jc w:val="left"/>
        <w:outlineLvl w:val="3"/>
      </w:pPr>
      <w:bookmarkStart w:name="heading_66" w:id="66"/>
      <w:r>
        <w:rPr>
          <w:rFonts w:eastAsia="等线" w:ascii="Arial" w:cs="Arial" w:hAnsi="Arial"/>
          <w:b w:val="true"/>
          <w:sz w:val="28"/>
        </w:rPr>
        <w:t>User-facing flow</w:t>
      </w:r>
      <w:bookmarkEnd w:id="66"/>
    </w:p>
    <w:p>
      <w:pPr>
        <w:numPr>
          <w:numId w:val="64"/>
        </w:numPr>
        <w:spacing w:before="120" w:after="120" w:line="288" w:lineRule="auto"/>
        <w:ind w:left="0"/>
        <w:jc w:val="left"/>
      </w:pPr>
      <w:r>
        <w:rPr>
          <w:rFonts w:eastAsia="等线" w:ascii="Arial" w:cs="Arial" w:hAnsi="Arial"/>
          <w:sz w:val="22"/>
        </w:rPr>
        <w:t>User creates a supported document in MAIA → confirms → MAIA writes it to SAP through the integration layer → SAP returns a document reference / success or failure</w:t>
      </w:r>
    </w:p>
    <w:p>
      <w:pPr>
        <w:pStyle w:val="4"/>
        <w:spacing w:before="260" w:after="120" w:line="288" w:lineRule="auto"/>
        <w:ind w:left="0"/>
        <w:jc w:val="left"/>
        <w:outlineLvl w:val="3"/>
      </w:pPr>
      <w:bookmarkStart w:name="heading_67" w:id="67"/>
      <w:r>
        <w:rPr>
          <w:rFonts w:eastAsia="等线" w:ascii="Arial" w:cs="Arial" w:hAnsi="Arial"/>
          <w:b w:val="true"/>
          <w:sz w:val="28"/>
        </w:rPr>
        <w:t>Acceptance criteria</w:t>
      </w:r>
      <w:bookmarkEnd w:id="67"/>
    </w:p>
    <w:p>
      <w:pPr>
        <w:numPr>
          <w:numId w:val="65"/>
        </w:numPr>
        <w:spacing w:before="120" w:after="120" w:line="288" w:lineRule="auto"/>
        <w:ind w:left="0"/>
        <w:jc w:val="left"/>
      </w:pPr>
      <w:r>
        <w:rPr>
          <w:rFonts w:eastAsia="等线" w:ascii="Arial" w:cs="Arial" w:hAnsi="Arial"/>
          <w:sz w:val="22"/>
        </w:rPr>
        <w:t>Writeback success/failure is visible to users; duplicate document creation is prevented</w:t>
      </w:r>
    </w:p>
    <w:p>
      <w:pPr>
        <w:numPr>
          <w:numId w:val="66"/>
        </w:numPr>
        <w:spacing w:before="120" w:after="120" w:line="288" w:lineRule="auto"/>
        <w:ind w:left="0"/>
        <w:jc w:val="left"/>
      </w:pPr>
      <w:r>
        <w:rPr>
          <w:rFonts w:eastAsia="等线" w:ascii="Arial" w:cs="Arial" w:hAnsi="Arial"/>
          <w:sz w:val="22"/>
        </w:rPr>
        <w:t>SAP-write build rows show "Not Started" as of 7 May, "In Progress" per the 7 Jul backward plan's M2 milestone — a tracker-freshness gap, not a scope gap</w:t>
      </w:r>
    </w:p>
    <w:p>
      <w:pPr>
        <w:pStyle w:val="4"/>
        <w:spacing w:before="260" w:after="120" w:line="288" w:lineRule="auto"/>
        <w:ind w:left="0"/>
        <w:jc w:val="left"/>
        <w:outlineLvl w:val="3"/>
      </w:pPr>
      <w:bookmarkStart w:name="heading_68" w:id="68"/>
      <w:r>
        <w:rPr>
          <w:rFonts w:eastAsia="等线" w:ascii="Arial" w:cs="Arial" w:hAnsi="Arial"/>
          <w:b w:val="true"/>
          <w:sz w:val="28"/>
        </w:rPr>
        <w:t>Confidence: HIGH on scope</w:t>
      </w:r>
      <w:bookmarkEnd w:id="68"/>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9" w:id="69"/>
      <w:r>
        <w:rPr>
          <w:rFonts w:eastAsia="等线" w:ascii="Arial" w:cs="Arial" w:hAnsi="Arial"/>
          <w:b w:val="true"/>
          <w:sz w:val="30"/>
        </w:rPr>
        <w:t>SL-12 — Movement-based slow stock visibility and reports</w:t>
      </w:r>
      <w:bookmarkEnd w:id="69"/>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w:t>
        <w:br/>
      </w:r>
      <w:r>
        <w:rPr>
          <w:rFonts w:eastAsia="等线" w:ascii="Arial" w:cs="Arial" w:hAnsi="Arial"/>
          <w:b w:val="true"/>
          <w:sz w:val="22"/>
        </w:rPr>
        <w:t>Source:</w:t>
      </w:r>
      <w:r>
        <w:rPr>
          <w:rFonts w:eastAsia="Consolas" w:ascii="Consolas" w:cs="Consolas" w:hAnsi="Consolas"/>
          <w:sz w:val="22"/>
          <w:shd w:fill="EFF0F1"/>
        </w:rPr>
        <w:t>[FF-RG-A | batch / expiry limitation]</w:t>
      </w:r>
    </w:p>
    <w:p>
      <w:pPr>
        <w:spacing w:before="120" w:after="120" w:line="288" w:lineRule="auto"/>
        <w:ind w:left="0"/>
        <w:jc w:val="left"/>
      </w:pPr>
      <w:r>
        <w:rPr>
          <w:rFonts w:eastAsia="等线" w:ascii="Arial" w:cs="Arial" w:hAnsi="Arial"/>
          <w:sz w:val="22"/>
        </w:rPr>
        <w:t>Because GST does not capture batch number or expiry data in structured form, MAIA does not provide batch-expiry alerts (see SUP-03/OOS-04) — instead it surfaces movement-based slow stock signals.</w:t>
      </w:r>
    </w:p>
    <w:p>
      <w:pPr>
        <w:pStyle w:val="4"/>
        <w:spacing w:before="260" w:after="120" w:line="288" w:lineRule="auto"/>
        <w:ind w:left="0"/>
        <w:jc w:val="left"/>
        <w:outlineLvl w:val="3"/>
      </w:pPr>
      <w:bookmarkStart w:name="heading_70" w:id="70"/>
      <w:r>
        <w:rPr>
          <w:rFonts w:eastAsia="等线" w:ascii="Arial" w:cs="Arial" w:hAnsi="Arial"/>
          <w:b w:val="true"/>
          <w:sz w:val="28"/>
        </w:rPr>
        <w:t>User-facing flow</w:t>
      </w:r>
      <w:bookmarkEnd w:id="70"/>
    </w:p>
    <w:p>
      <w:pPr>
        <w:numPr>
          <w:numId w:val="67"/>
        </w:numPr>
        <w:spacing w:before="120" w:after="120" w:line="288" w:lineRule="auto"/>
        <w:ind w:left="0"/>
        <w:jc w:val="left"/>
      </w:pPr>
      <w:r>
        <w:rPr>
          <w:rFonts w:eastAsia="等线" w:ascii="Arial" w:cs="Arial" w:hAnsi="Arial"/>
          <w:sz w:val="22"/>
        </w:rPr>
        <w:t>User opens the warehouse dashboard or stock report → sees movement/aging signals from available stock-movement data → identifies slow-moving stock → follows up operationally</w:t>
      </w:r>
    </w:p>
    <w:p>
      <w:pPr>
        <w:pStyle w:val="4"/>
        <w:spacing w:before="260" w:after="120" w:line="288" w:lineRule="auto"/>
        <w:ind w:left="0"/>
        <w:jc w:val="left"/>
        <w:outlineLvl w:val="3"/>
      </w:pPr>
      <w:bookmarkStart w:name="heading_71" w:id="71"/>
      <w:r>
        <w:rPr>
          <w:rFonts w:eastAsia="等线" w:ascii="Arial" w:cs="Arial" w:hAnsi="Arial"/>
          <w:b w:val="true"/>
          <w:sz w:val="28"/>
        </w:rPr>
        <w:t>Acceptance criteria</w:t>
      </w:r>
      <w:bookmarkEnd w:id="71"/>
    </w:p>
    <w:p>
      <w:pPr>
        <w:numPr>
          <w:numId w:val="68"/>
        </w:numPr>
        <w:spacing w:before="120" w:after="120" w:line="288" w:lineRule="auto"/>
        <w:ind w:left="0"/>
        <w:jc w:val="left"/>
      </w:pPr>
      <w:r>
        <w:rPr>
          <w:rFonts w:eastAsia="等线" w:ascii="Arial" w:cs="Arial" w:hAnsi="Arial"/>
          <w:sz w:val="22"/>
        </w:rPr>
        <w:t>MAIA does not claim batch-level expiry alerting; reports use available SAP/MAIA stock-movement data only</w:t>
      </w:r>
    </w:p>
    <w:p>
      <w:pPr>
        <w:pStyle w:val="4"/>
        <w:spacing w:before="260" w:after="120" w:line="288" w:lineRule="auto"/>
        <w:ind w:left="0"/>
        <w:jc w:val="left"/>
        <w:outlineLvl w:val="3"/>
      </w:pPr>
      <w:bookmarkStart w:name="heading_72" w:id="72"/>
      <w:r>
        <w:rPr>
          <w:rFonts w:eastAsia="等线" w:ascii="Arial" w:cs="Arial" w:hAnsi="Arial"/>
          <w:b w:val="true"/>
          <w:sz w:val="28"/>
        </w:rPr>
        <w:t>Confidence: HIGH on scope; MEDIUM on rule definitions</w:t>
      </w:r>
      <w:bookmarkEnd w:id="72"/>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3" w:id="73"/>
      <w:r>
        <w:rPr>
          <w:rFonts w:eastAsia="等线" w:ascii="Arial" w:cs="Arial" w:hAnsi="Arial"/>
          <w:b w:val="true"/>
          <w:sz w:val="30"/>
        </w:rPr>
        <w:t>SL-13 (new) — Consolidated pick list: warehouse team-split, actual picked qty capture, and DN creation</w:t>
      </w:r>
      <w:bookmarkEnd w:id="73"/>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 (partially built)</w:t>
        <w:br/>
      </w:r>
      <w:r>
        <w:rPr>
          <w:rFonts w:eastAsia="等线" w:ascii="Arial" w:cs="Arial" w:hAnsi="Arial"/>
          <w:b w:val="true"/>
          <w:sz w:val="22"/>
        </w:rPr>
        <w:t>Source:</w:t>
      </w:r>
      <w:r>
        <w:rPr>
          <w:rFonts w:eastAsia="Consolas" w:ascii="Consolas" w:cs="Consolas" w:hAnsi="Consolas"/>
          <w:sz w:val="22"/>
          <w:shd w:fill="EFF0F1"/>
        </w:rPr>
        <w:t>[RG | Captured Requirements — Logistics/Warehouse Workflow][CSV | Pre-Phase 1 Gate #10-11, Core MAIA Extension #1-2, #8-9][FF | 5/4 session B — "picking list basically picking list S O D O invoice... it will all in Crystal report"]</w:t>
      </w:r>
      <w:r>
        <w:rPr>
          <w:rFonts w:eastAsia="等线" w:ascii="Arial" w:cs="Arial" w:hAnsi="Arial"/>
          <w:sz w:val="22"/>
        </w:rPr>
        <w:t>; Implementation Plan's "Pick List — The UX at Each Phase" section</w:t>
      </w:r>
    </w:p>
    <w:p>
      <w:pPr>
        <w:spacing w:before="120" w:after="120" w:line="288" w:lineRule="auto"/>
        <w:ind w:left="0"/>
        <w:jc w:val="left"/>
      </w:pPr>
      <w:r>
        <w:rPr>
          <w:rFonts w:eastAsia="等线" w:ascii="Arial" w:cs="Arial" w:hAnsi="Arial"/>
          <w:sz w:val="22"/>
        </w:rPr>
        <w:t>Not present in v1.2 at all — this is a genuine addition, surfaced by a fuller pass through the Fireflies raw transcript and the Implementation Plan narrative.</w:t>
      </w:r>
    </w:p>
    <w:p>
      <w:pPr>
        <w:pStyle w:val="4"/>
        <w:spacing w:before="260" w:after="120" w:line="288" w:lineRule="auto"/>
        <w:ind w:left="0"/>
        <w:jc w:val="left"/>
        <w:outlineLvl w:val="3"/>
      </w:pPr>
      <w:bookmarkStart w:name="heading_74" w:id="74"/>
      <w:r>
        <w:rPr>
          <w:rFonts w:eastAsia="等线" w:ascii="Arial" w:cs="Arial" w:hAnsi="Arial"/>
          <w:b w:val="true"/>
          <w:sz w:val="28"/>
        </w:rPr>
        <w:t>User-facing flow</w:t>
      </w:r>
      <w:bookmarkEnd w:id="74"/>
    </w:p>
    <w:p>
      <w:pPr>
        <w:numPr>
          <w:numId w:val="69"/>
        </w:numPr>
        <w:spacing w:before="120" w:after="120" w:line="288" w:lineRule="auto"/>
        <w:ind w:left="0"/>
        <w:jc w:val="left"/>
      </w:pPr>
      <w:r>
        <w:rPr>
          <w:rFonts w:eastAsia="等线" w:ascii="Arial" w:cs="Arial" w:hAnsi="Arial"/>
          <w:sz w:val="22"/>
        </w:rPr>
        <w:t>Warehouse manager creates a consolidated pick list pulling items from multiple pending SOs</w:t>
      </w:r>
    </w:p>
    <w:p>
      <w:pPr>
        <w:numPr>
          <w:numId w:val="70"/>
        </w:numPr>
        <w:spacing w:before="120" w:after="120" w:line="288" w:lineRule="auto"/>
        <w:ind w:left="0"/>
        <w:jc w:val="left"/>
      </w:pPr>
      <w:r>
        <w:rPr>
          <w:rFonts w:eastAsia="等线" w:ascii="Arial" w:cs="Arial" w:hAnsi="Arial"/>
          <w:sz w:val="22"/>
        </w:rPr>
        <w:t>MAIA auto-splits the pick list by warehouse section (frozen produce vs ready-packed stock) so each team sees only its items</w:t>
      </w:r>
    </w:p>
    <w:p>
      <w:pPr>
        <w:numPr>
          <w:numId w:val="71"/>
        </w:numPr>
        <w:spacing w:before="120" w:after="120" w:line="288" w:lineRule="auto"/>
        <w:ind w:left="0"/>
        <w:jc w:val="left"/>
      </w:pPr>
      <w:r>
        <w:rPr>
          <w:rFonts w:eastAsia="等线" w:ascii="Arial" w:cs="Arial" w:hAnsi="Arial"/>
          <w:sz w:val="22"/>
        </w:rPr>
        <w:t>After picking (and, for frozen items, stock transformation — stays in SAP, unchanged in Phase 1), warehouse user updates actual picked quantities directly in MAIA — no paper annotation, no sales-support re-entry</w:t>
      </w:r>
    </w:p>
    <w:p>
      <w:pPr>
        <w:numPr>
          <w:numId w:val="72"/>
        </w:numPr>
        <w:spacing w:before="120" w:after="120" w:line="288" w:lineRule="auto"/>
        <w:ind w:left="0"/>
        <w:jc w:val="left"/>
      </w:pPr>
      <w:r>
        <w:rPr>
          <w:rFonts w:eastAsia="等线" w:ascii="Arial" w:cs="Arial" w:hAnsi="Arial"/>
          <w:sz w:val="22"/>
        </w:rPr>
        <w:t>Pick list is submitted with actual quantities → DN created per customer from the consolidated list</w:t>
      </w:r>
    </w:p>
    <w:p>
      <w:pPr>
        <w:pStyle w:val="4"/>
        <w:spacing w:before="260" w:after="120" w:line="288" w:lineRule="auto"/>
        <w:ind w:left="0"/>
        <w:jc w:val="left"/>
        <w:outlineLvl w:val="3"/>
      </w:pPr>
      <w:bookmarkStart w:name="heading_75" w:id="75"/>
      <w:r>
        <w:rPr>
          <w:rFonts w:eastAsia="等线" w:ascii="Arial" w:cs="Arial" w:hAnsi="Arial"/>
          <w:b w:val="true"/>
          <w:sz w:val="28"/>
        </w:rPr>
        <w:t>Acceptance criteria</w:t>
      </w:r>
      <w:bookmarkEnd w:id="75"/>
    </w:p>
    <w:p>
      <w:pPr>
        <w:numPr>
          <w:numId w:val="73"/>
        </w:numPr>
        <w:spacing w:before="120" w:after="120" w:line="288" w:lineRule="auto"/>
        <w:ind w:left="0"/>
        <w:jc w:val="left"/>
      </w:pPr>
      <w:r>
        <w:rPr>
          <w:rFonts w:eastAsia="等线" w:ascii="Arial" w:cs="Arial" w:hAnsi="Arial"/>
          <w:sz w:val="22"/>
        </w:rPr>
        <w:t>Team-split view/print correctly filters by item group (frozen vs ready-packed) — already Completed per delivery tracker</w:t>
      </w:r>
    </w:p>
    <w:p>
      <w:pPr>
        <w:numPr>
          <w:numId w:val="74"/>
        </w:numPr>
        <w:spacing w:before="120" w:after="120" w:line="288" w:lineRule="auto"/>
        <w:ind w:left="0"/>
        <w:jc w:val="left"/>
      </w:pPr>
      <w:r>
        <w:rPr>
          <w:rFonts w:eastAsia="等线" w:ascii="Arial" w:cs="Arial" w:hAnsi="Arial"/>
          <w:sz w:val="22"/>
        </w:rPr>
        <w:t>Actual picked quantity is captured in MAIA UI and flows through to DN without a second data-entry step — Not Started (see NSD-07)</w:t>
      </w:r>
    </w:p>
    <w:p>
      <w:pPr>
        <w:numPr>
          <w:numId w:val="75"/>
        </w:numPr>
        <w:spacing w:before="120" w:after="120" w:line="288" w:lineRule="auto"/>
        <w:ind w:left="0"/>
        <w:jc w:val="left"/>
      </w:pPr>
      <w:r>
        <w:rPr>
          <w:rFonts w:eastAsia="等线" w:ascii="Arial" w:cs="Arial" w:hAnsi="Arial"/>
          <w:sz w:val="22"/>
        </w:rPr>
        <w:t>When a pick list spans multiple SOs, the system defines how DN creation resolves which SO(s) to create the DN for — Not Started, no defined logic yet (see NSD-08)</w:t>
      </w:r>
    </w:p>
    <w:p>
      <w:pPr>
        <w:numPr>
          <w:numId w:val="76"/>
        </w:numPr>
        <w:spacing w:before="120" w:after="120" w:line="288" w:lineRule="auto"/>
        <w:ind w:left="0"/>
        <w:jc w:val="left"/>
      </w:pPr>
      <w:r>
        <w:rPr>
          <w:rFonts w:eastAsia="等线" w:ascii="Arial" w:cs="Arial" w:hAnsi="Arial"/>
          <w:sz w:val="22"/>
        </w:rPr>
        <w:t>Pick List PDF output matches GST's Crystal Reports layout — gated on the same document-sample dependency as NSD-01</w:t>
      </w:r>
    </w:p>
    <w:p>
      <w:pPr>
        <w:pStyle w:val="4"/>
        <w:spacing w:before="260" w:after="120" w:line="288" w:lineRule="auto"/>
        <w:ind w:left="0"/>
        <w:jc w:val="left"/>
        <w:outlineLvl w:val="3"/>
      </w:pPr>
      <w:bookmarkStart w:name="heading_76" w:id="76"/>
      <w:r>
        <w:rPr>
          <w:rFonts w:eastAsia="等线" w:ascii="Arial" w:cs="Arial" w:hAnsi="Arial"/>
          <w:b w:val="true"/>
          <w:sz w:val="28"/>
        </w:rPr>
        <w:t>Confidence: HIGH on team-split (built); MEDIUM-LOW on actual-qty capture and multi-SO DN split (undefined edge cases)</w:t>
      </w:r>
      <w:bookmarkEnd w:id="76"/>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7" w:id="77"/>
      <w:r>
        <w:rPr>
          <w:rFonts w:eastAsia="等线" w:ascii="Arial" w:cs="Arial" w:hAnsi="Arial"/>
          <w:b w:val="true"/>
          <w:sz w:val="30"/>
        </w:rPr>
        <w:t>SL-14 (new) — Item description / name override in sales documents</w:t>
      </w:r>
      <w:bookmarkEnd w:id="77"/>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w:t>
        <w:br/>
      </w:r>
      <w:r>
        <w:rPr>
          <w:rFonts w:eastAsia="等线" w:ascii="Arial" w:cs="Arial" w:hAnsi="Arial"/>
          <w:b w:val="true"/>
          <w:sz w:val="22"/>
        </w:rPr>
        <w:t>Source:</w:t>
      </w:r>
      <w:r>
        <w:rPr>
          <w:rFonts w:eastAsia="Consolas" w:ascii="Consolas" w:cs="Consolas" w:hAnsi="Consolas"/>
          <w:sz w:val="22"/>
          <w:shd w:fill="EFF0F1"/>
        </w:rPr>
        <w:t>[Ivan RG Notes | §8]</w:t>
      </w:r>
      <w:r>
        <w:rPr>
          <w:rFonts w:eastAsia="等线" w:ascii="Arial" w:cs="Arial" w:hAnsi="Arial"/>
          <w:sz w:val="22"/>
        </w:rPr>
        <w:t xml:space="preserve"> — "GST requires the ability to override item name or item description in sales documents"; corroborated by Ivan's raw meeting notes, which list it as its own line separate from Blanket Order</w:t>
      </w:r>
    </w:p>
    <w:p>
      <w:pPr>
        <w:spacing w:before="120" w:after="120" w:line="288" w:lineRule="auto"/>
        <w:ind w:left="0"/>
        <w:jc w:val="left"/>
      </w:pPr>
      <w:r>
        <w:rPr>
          <w:rFonts w:eastAsia="等线" w:ascii="Arial" w:cs="Arial" w:hAnsi="Arial"/>
          <w:sz w:val="22"/>
        </w:rPr>
        <w:t>Not present in v1.2 or anywhere else in the corpus before this pass — direct GST requirement from the founding 2026-05-04 RG session, previously untraced. This also resolves the SUP-05 "Item Name Override has no scope trace" flag — see correction there.</w:t>
      </w:r>
    </w:p>
    <w:p>
      <w:pPr>
        <w:pStyle w:val="4"/>
        <w:spacing w:before="260" w:after="120" w:line="288" w:lineRule="auto"/>
        <w:ind w:left="0"/>
        <w:jc w:val="left"/>
        <w:outlineLvl w:val="3"/>
      </w:pPr>
      <w:bookmarkStart w:name="heading_78" w:id="78"/>
      <w:r>
        <w:rPr>
          <w:rFonts w:eastAsia="等线" w:ascii="Arial" w:cs="Arial" w:hAnsi="Arial"/>
          <w:b w:val="true"/>
          <w:sz w:val="28"/>
        </w:rPr>
        <w:t>User-facing flow</w:t>
      </w:r>
      <w:bookmarkEnd w:id="78"/>
    </w:p>
    <w:p>
      <w:pPr>
        <w:numPr>
          <w:numId w:val="77"/>
        </w:numPr>
        <w:spacing w:before="120" w:after="120" w:line="288" w:lineRule="auto"/>
        <w:ind w:left="0"/>
        <w:jc w:val="left"/>
      </w:pPr>
      <w:r>
        <w:rPr>
          <w:rFonts w:eastAsia="等线" w:ascii="Arial" w:cs="Arial" w:hAnsi="Arial"/>
          <w:sz w:val="22"/>
        </w:rPr>
        <w:t>Same SKU may need a different customer-facing description depending on the transaction (processing instructions, customer-preferred wording)</w:t>
      </w:r>
    </w:p>
    <w:p>
      <w:pPr>
        <w:numPr>
          <w:numId w:val="78"/>
        </w:numPr>
        <w:spacing w:before="120" w:after="120" w:line="288" w:lineRule="auto"/>
        <w:ind w:left="0"/>
        <w:jc w:val="left"/>
      </w:pPr>
      <w:r>
        <w:rPr>
          <w:rFonts w:eastAsia="等线" w:ascii="Arial" w:cs="Arial" w:hAnsi="Arial"/>
          <w:sz w:val="22"/>
        </w:rPr>
        <w:t>User overrides the item description at the transaction/line-item level on a sales document, without touching the item master</w:t>
      </w:r>
    </w:p>
    <w:p>
      <w:pPr>
        <w:pStyle w:val="4"/>
        <w:spacing w:before="260" w:after="120" w:line="288" w:lineRule="auto"/>
        <w:ind w:left="0"/>
        <w:jc w:val="left"/>
        <w:outlineLvl w:val="3"/>
      </w:pPr>
      <w:bookmarkStart w:name="heading_79" w:id="79"/>
      <w:r>
        <w:rPr>
          <w:rFonts w:eastAsia="等线" w:ascii="Arial" w:cs="Arial" w:hAnsi="Arial"/>
          <w:b w:val="true"/>
          <w:sz w:val="28"/>
        </w:rPr>
        <w:t>Acceptance criteria</w:t>
      </w:r>
      <w:bookmarkEnd w:id="79"/>
    </w:p>
    <w:p>
      <w:pPr>
        <w:numPr>
          <w:numId w:val="79"/>
        </w:numPr>
        <w:spacing w:before="120" w:after="120" w:line="288" w:lineRule="auto"/>
        <w:ind w:left="0"/>
        <w:jc w:val="left"/>
      </w:pPr>
      <w:r>
        <w:rPr>
          <w:rFonts w:eastAsia="等线" w:ascii="Arial" w:cs="Arial" w:hAnsi="Arial"/>
          <w:sz w:val="22"/>
        </w:rPr>
        <w:t>Description override is transaction-level only; the underlying SKU identity and item master record are unchanged</w:t>
      </w:r>
    </w:p>
    <w:p>
      <w:pPr>
        <w:numPr>
          <w:numId w:val="80"/>
        </w:numPr>
        <w:spacing w:before="120" w:after="120" w:line="288" w:lineRule="auto"/>
        <w:ind w:left="0"/>
        <w:jc w:val="left"/>
      </w:pPr>
      <w:r>
        <w:rPr>
          <w:rFonts w:eastAsia="等线" w:ascii="Arial" w:cs="Arial" w:hAnsi="Arial"/>
          <w:sz w:val="22"/>
        </w:rPr>
        <w:t>No data pollution of the shared item master from a one-off customer-facing description</w:t>
      </w:r>
    </w:p>
    <w:p>
      <w:pPr>
        <w:pStyle w:val="4"/>
        <w:spacing w:before="260" w:after="120" w:line="288" w:lineRule="auto"/>
        <w:ind w:left="0"/>
        <w:jc w:val="left"/>
        <w:outlineLvl w:val="3"/>
      </w:pPr>
      <w:bookmarkStart w:name="heading_80" w:id="80"/>
      <w:r>
        <w:rPr>
          <w:rFonts w:eastAsia="等线" w:ascii="Arial" w:cs="Arial" w:hAnsi="Arial"/>
          <w:b w:val="true"/>
          <w:sz w:val="28"/>
        </w:rPr>
        <w:t>Confidence: HIGH — direct, twice-documented client requirement</w:t>
      </w:r>
      <w:bookmarkEnd w:id="80"/>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1" w:id="81"/>
      <w:r>
        <w:rPr>
          <w:rFonts w:eastAsia="等线" w:ascii="Arial" w:cs="Arial" w:hAnsi="Arial"/>
          <w:b w:val="true"/>
          <w:sz w:val="30"/>
        </w:rPr>
        <w:t>SL-15 (new) — Customer preference / processing-instruction capture</w:t>
      </w:r>
      <w:bookmarkEnd w:id="81"/>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 (Phase 1: free-text remarks + RAG suggestion only)</w:t>
        <w:br/>
      </w:r>
      <w:r>
        <w:rPr>
          <w:rFonts w:eastAsia="等线" w:ascii="Arial" w:cs="Arial" w:hAnsi="Arial"/>
          <w:b w:val="true"/>
          <w:sz w:val="22"/>
        </w:rPr>
        <w:t>Source:</w:t>
      </w:r>
      <w:r>
        <w:rPr>
          <w:rFonts w:eastAsia="Consolas" w:ascii="Consolas" w:cs="Consolas" w:hAnsi="Consolas"/>
          <w:sz w:val="22"/>
          <w:shd w:fill="EFF0F1"/>
        </w:rPr>
        <w:t>[Ivan RG Notes | §7]</w:t>
      </w:r>
      <w:r>
        <w:rPr>
          <w:rFonts w:eastAsia="等线" w:ascii="Arial" w:cs="Arial" w:hAnsi="Arial"/>
          <w:sz w:val="22"/>
        </w:rPr>
        <w:t xml:space="preserve"> — "Shangri-La wants butterfly cut... another customer wants cleaned and gutted"; Implementation Plan's "Customer Preferences — UX at Each Phase" section</w:t>
      </w:r>
    </w:p>
    <w:p>
      <w:pPr>
        <w:spacing w:before="120" w:after="120" w:line="288" w:lineRule="auto"/>
        <w:ind w:left="0"/>
        <w:jc w:val="left"/>
      </w:pPr>
      <w:r>
        <w:rPr>
          <w:rFonts w:eastAsia="等线" w:ascii="Arial" w:cs="Arial" w:hAnsi="Arial"/>
          <w:sz w:val="22"/>
        </w:rPr>
        <w:t>Not present in v1.2. Whole feature area was missing from the Scope Lock despite being documented in two separate KB sources.</w:t>
      </w:r>
    </w:p>
    <w:p>
      <w:pPr>
        <w:pStyle w:val="4"/>
        <w:spacing w:before="260" w:after="120" w:line="288" w:lineRule="auto"/>
        <w:ind w:left="0"/>
        <w:jc w:val="left"/>
        <w:outlineLvl w:val="3"/>
      </w:pPr>
      <w:bookmarkStart w:name="heading_82" w:id="82"/>
      <w:r>
        <w:rPr>
          <w:rFonts w:eastAsia="等线" w:ascii="Arial" w:cs="Arial" w:hAnsi="Arial"/>
          <w:b w:val="true"/>
          <w:sz w:val="28"/>
        </w:rPr>
        <w:t>User-facing flow</w:t>
      </w:r>
      <w:bookmarkEnd w:id="82"/>
    </w:p>
    <w:p>
      <w:pPr>
        <w:numPr>
          <w:numId w:val="81"/>
        </w:numPr>
        <w:spacing w:before="120" w:after="120" w:line="288" w:lineRule="auto"/>
        <w:ind w:left="0"/>
        <w:jc w:val="left"/>
      </w:pPr>
      <w:r>
        <w:rPr>
          <w:rFonts w:eastAsia="等线" w:ascii="Arial" w:cs="Arial" w:hAnsi="Arial"/>
          <w:sz w:val="22"/>
        </w:rPr>
        <w:t>Staff types customer/processing preferences into remarks on QT/SO/SI/DN (document- or line-item-level)</w:t>
      </w:r>
    </w:p>
    <w:p>
      <w:pPr>
        <w:numPr>
          <w:numId w:val="82"/>
        </w:numPr>
        <w:spacing w:before="120" w:after="120" w:line="288" w:lineRule="auto"/>
        <w:ind w:left="0"/>
        <w:jc w:val="left"/>
      </w:pPr>
      <w:r>
        <w:rPr>
          <w:rFonts w:eastAsia="等线" w:ascii="Arial" w:cs="Arial" w:hAnsi="Arial"/>
          <w:sz w:val="22"/>
        </w:rPr>
        <w:t>MAIA embeds remarks per customer; on the next document creation for that customer, MAIA surfaces relevant historical remarks as a suggestion in the chatbot</w:t>
      </w:r>
    </w:p>
    <w:p>
      <w:pPr>
        <w:numPr>
          <w:numId w:val="83"/>
        </w:numPr>
        <w:spacing w:before="120" w:after="120" w:line="288" w:lineRule="auto"/>
        <w:ind w:left="0"/>
        <w:jc w:val="left"/>
      </w:pPr>
      <w:r>
        <w:rPr>
          <w:rFonts w:eastAsia="等线" w:ascii="Arial" w:cs="Arial" w:hAnsi="Arial"/>
          <w:sz w:val="22"/>
        </w:rPr>
        <w:t>Staff applies or ignores the suggestion — never auto-applied</w:t>
      </w:r>
    </w:p>
    <w:p>
      <w:pPr>
        <w:pStyle w:val="4"/>
        <w:spacing w:before="260" w:after="120" w:line="288" w:lineRule="auto"/>
        <w:ind w:left="0"/>
        <w:jc w:val="left"/>
        <w:outlineLvl w:val="3"/>
      </w:pPr>
      <w:bookmarkStart w:name="heading_83" w:id="83"/>
      <w:r>
        <w:rPr>
          <w:rFonts w:eastAsia="等线" w:ascii="Arial" w:cs="Arial" w:hAnsi="Arial"/>
          <w:b w:val="true"/>
          <w:sz w:val="28"/>
        </w:rPr>
        <w:t>Acceptance criteria</w:t>
      </w:r>
      <w:bookmarkEnd w:id="83"/>
    </w:p>
    <w:p>
      <w:pPr>
        <w:numPr>
          <w:numId w:val="84"/>
        </w:numPr>
        <w:spacing w:before="120" w:after="120" w:line="288" w:lineRule="auto"/>
        <w:ind w:left="0"/>
        <w:jc w:val="left"/>
      </w:pPr>
      <w:r>
        <w:rPr>
          <w:rFonts w:eastAsia="等线" w:ascii="Arial" w:cs="Arial" w:hAnsi="Arial"/>
          <w:sz w:val="22"/>
        </w:rPr>
        <w:t>Remarks captured at document and line-item level on QT/SO/SI/DN</w:t>
      </w:r>
    </w:p>
    <w:p>
      <w:pPr>
        <w:numPr>
          <w:numId w:val="85"/>
        </w:numPr>
        <w:spacing w:before="120" w:after="120" w:line="288" w:lineRule="auto"/>
        <w:ind w:left="0"/>
        <w:jc w:val="left"/>
      </w:pPr>
      <w:r>
        <w:rPr>
          <w:rFonts w:eastAsia="等线" w:ascii="Arial" w:cs="Arial" w:hAnsi="Arial"/>
          <w:sz w:val="22"/>
        </w:rPr>
        <w:t>Suggestion is surfaced, not silently applied; historical order-data migration seeds the initial embeddings</w:t>
      </w:r>
    </w:p>
    <w:p>
      <w:pPr>
        <w:numPr>
          <w:numId w:val="86"/>
        </w:numPr>
        <w:spacing w:before="120" w:after="120" w:line="288" w:lineRule="auto"/>
        <w:ind w:left="0"/>
        <w:jc w:val="left"/>
      </w:pPr>
      <w:r>
        <w:rPr>
          <w:rFonts w:eastAsia="等线" w:ascii="Arial" w:cs="Arial" w:hAnsi="Arial"/>
          <w:sz w:val="22"/>
        </w:rPr>
        <w:t xml:space="preserve">Structured preference fields (dropdown for cut type, toggle for glaze, auto-populating into QT/SO/Pick List/DN) are an explicit </w:t>
      </w:r>
      <w:r>
        <w:rPr>
          <w:rFonts w:eastAsia="等线" w:ascii="Arial" w:cs="Arial" w:hAnsi="Arial"/>
          <w:b w:val="true"/>
          <w:sz w:val="22"/>
        </w:rPr>
        <w:t>Phase 2 enhancement</w:t>
      </w:r>
      <w:r>
        <w:rPr>
          <w:rFonts w:eastAsia="等线" w:ascii="Arial" w:cs="Arial" w:hAnsi="Arial"/>
          <w:sz w:val="22"/>
        </w:rPr>
        <w:t>, not promised now — do not build ahead of Phase 1 free-text + RAG</w:t>
      </w:r>
    </w:p>
    <w:p>
      <w:pPr>
        <w:pStyle w:val="4"/>
        <w:spacing w:before="260" w:after="120" w:line="288" w:lineRule="auto"/>
        <w:ind w:left="0"/>
        <w:jc w:val="left"/>
        <w:outlineLvl w:val="3"/>
      </w:pPr>
      <w:bookmarkStart w:name="heading_84" w:id="84"/>
      <w:r>
        <w:rPr>
          <w:rFonts w:eastAsia="等线" w:ascii="Arial" w:cs="Arial" w:hAnsi="Arial"/>
          <w:b w:val="true"/>
          <w:sz w:val="28"/>
        </w:rPr>
        <w:t>Confidence: HIGH on Phase 1 (free-text + RAG suggestion); Phase 2 structured fields is future scope only</w:t>
      </w:r>
      <w:bookmarkEnd w:id="84"/>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5" w:id="85"/>
      <w:r>
        <w:rPr>
          <w:rFonts w:eastAsia="等线" w:ascii="Arial" w:cs="Arial" w:hAnsi="Arial"/>
          <w:b w:val="true"/>
          <w:sz w:val="30"/>
        </w:rPr>
        <w:t>SL-16 (new) — DO / Invoice shared document-numbering behaviour</w:t>
      </w:r>
      <w:bookmarkEnd w:id="85"/>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w:t>
        <w:br/>
      </w:r>
      <w:r>
        <w:rPr>
          <w:rFonts w:eastAsia="等线" w:ascii="Arial" w:cs="Arial" w:hAnsi="Arial"/>
          <w:b w:val="true"/>
          <w:sz w:val="22"/>
        </w:rPr>
        <w:t>Source:</w:t>
      </w:r>
      <w:r>
        <w:rPr>
          <w:rFonts w:eastAsia="Consolas" w:ascii="Consolas" w:cs="Consolas" w:hAnsi="Consolas"/>
          <w:sz w:val="22"/>
          <w:shd w:fill="EFF0F1"/>
        </w:rPr>
        <w:t>[Ivan RG Notes | §17]</w:t>
      </w:r>
      <w:r>
        <w:rPr>
          <w:rFonts w:eastAsia="等线" w:ascii="Arial" w:cs="Arial" w:hAnsi="Arial"/>
          <w:sz w:val="22"/>
        </w:rPr>
        <w:t xml:space="preserve"> — GST's own workaround so DO and Invoice share a number/reference to reduce customer confusion; corroborated by </w:t>
      </w:r>
      <w:r>
        <w:rPr>
          <w:rFonts w:eastAsia="Consolas" w:ascii="Consolas" w:cs="Consolas" w:hAnsi="Consolas"/>
          <w:sz w:val="22"/>
          <w:shd w:fill="EFF0F1"/>
        </w:rPr>
        <w:t>[CSV | Pre-Phase 1 Gate #12]</w:t>
      </w:r>
      <w:r>
        <w:rPr>
          <w:rFonts w:eastAsia="等线" w:ascii="Arial" w:cs="Arial" w:hAnsi="Arial"/>
          <w:sz w:val="22"/>
        </w:rPr>
        <w:t xml:space="preserve"> and </w:t>
      </w:r>
      <w:r>
        <w:rPr>
          <w:rFonts w:eastAsia="Consolas" w:ascii="Consolas" w:cs="Consolas" w:hAnsi="Consolas"/>
          <w:sz w:val="22"/>
          <w:shd w:fill="EFF0F1"/>
        </w:rPr>
        <w:t>[SAPV | Key Point D]</w:t>
      </w:r>
    </w:p>
    <w:p>
      <w:pPr>
        <w:spacing w:before="120" w:after="120" w:line="288" w:lineRule="auto"/>
        <w:ind w:left="0"/>
        <w:jc w:val="left"/>
      </w:pPr>
      <w:r>
        <w:rPr>
          <w:rFonts w:eastAsia="等线" w:ascii="Arial" w:cs="Arial" w:hAnsi="Arial"/>
          <w:sz w:val="22"/>
        </w:rPr>
        <w:t>Previously only referenced in the VoC Extraction (VOC-020) as customer-voice evidence — never carried into the Scope Lock as build logic. This is a numbering-scheme requirement, not just a PDF-layout detail under SL-08.</w:t>
      </w:r>
    </w:p>
    <w:p>
      <w:pPr>
        <w:pStyle w:val="4"/>
        <w:spacing w:before="260" w:after="120" w:line="288" w:lineRule="auto"/>
        <w:ind w:left="0"/>
        <w:jc w:val="left"/>
        <w:outlineLvl w:val="3"/>
      </w:pPr>
      <w:bookmarkStart w:name="heading_86" w:id="86"/>
      <w:r>
        <w:rPr>
          <w:rFonts w:eastAsia="等线" w:ascii="Arial" w:cs="Arial" w:hAnsi="Arial"/>
          <w:b w:val="true"/>
          <w:sz w:val="28"/>
        </w:rPr>
        <w:t>User-facing flow</w:t>
      </w:r>
      <w:bookmarkEnd w:id="86"/>
    </w:p>
    <w:p>
      <w:pPr>
        <w:numPr>
          <w:numId w:val="87"/>
        </w:numPr>
        <w:spacing w:before="120" w:after="120" w:line="288" w:lineRule="auto"/>
        <w:ind w:left="0"/>
        <w:jc w:val="left"/>
      </w:pPr>
      <w:r>
        <w:rPr>
          <w:rFonts w:eastAsia="等线" w:ascii="Arial" w:cs="Arial" w:hAnsi="Arial"/>
          <w:sz w:val="22"/>
        </w:rPr>
        <w:t>MAIA generates DO and Invoice under GST's existing numbering convention — same/linked reference number, template title differs</w:t>
      </w:r>
    </w:p>
    <w:p>
      <w:pPr>
        <w:numPr>
          <w:numId w:val="88"/>
        </w:numPr>
        <w:spacing w:before="120" w:after="120" w:line="288" w:lineRule="auto"/>
        <w:ind w:left="0"/>
        <w:jc w:val="left"/>
      </w:pPr>
      <w:r>
        <w:rPr>
          <w:rFonts w:eastAsia="等线" w:ascii="Arial" w:cs="Arial" w:hAnsi="Arial"/>
          <w:sz w:val="22"/>
        </w:rPr>
        <w:t>Multiple DOs can be created under one SO, each still following the convention</w:t>
      </w:r>
    </w:p>
    <w:p>
      <w:pPr>
        <w:pStyle w:val="4"/>
        <w:spacing w:before="260" w:after="120" w:line="288" w:lineRule="auto"/>
        <w:ind w:left="0"/>
        <w:jc w:val="left"/>
        <w:outlineLvl w:val="3"/>
      </w:pPr>
      <w:bookmarkStart w:name="heading_87" w:id="87"/>
      <w:r>
        <w:rPr>
          <w:rFonts w:eastAsia="等线" w:ascii="Arial" w:cs="Arial" w:hAnsi="Arial"/>
          <w:b w:val="true"/>
          <w:sz w:val="28"/>
        </w:rPr>
        <w:t>Acceptance criteria</w:t>
      </w:r>
      <w:bookmarkEnd w:id="87"/>
    </w:p>
    <w:p>
      <w:pPr>
        <w:numPr>
          <w:numId w:val="89"/>
        </w:numPr>
        <w:spacing w:before="120" w:after="120" w:line="288" w:lineRule="auto"/>
        <w:ind w:left="0"/>
        <w:jc w:val="left"/>
      </w:pPr>
      <w:r>
        <w:rPr>
          <w:rFonts w:eastAsia="等线" w:ascii="Arial" w:cs="Arial" w:hAnsi="Arial"/>
          <w:sz w:val="22"/>
        </w:rPr>
        <w:t>MAIA-generated DO/Invoice numbering matches GST's existing scheme exactly — this is what prevents the customer confusion GST already built a workaround for</w:t>
      </w:r>
    </w:p>
    <w:p>
      <w:pPr>
        <w:numPr>
          <w:numId w:val="90"/>
        </w:numPr>
        <w:spacing w:before="120" w:after="120" w:line="288" w:lineRule="auto"/>
        <w:ind w:left="0"/>
        <w:jc w:val="left"/>
      </w:pPr>
      <w:r>
        <w:rPr>
          <w:rFonts w:eastAsia="等线" w:ascii="Arial" w:cs="Arial" w:hAnsi="Arial"/>
          <w:sz w:val="22"/>
        </w:rPr>
        <w:t>Document numbering does not regress to a naive separate-sequence-per-doctype default</w:t>
      </w:r>
    </w:p>
    <w:p>
      <w:pPr>
        <w:pStyle w:val="4"/>
        <w:spacing w:before="260" w:after="120" w:line="288" w:lineRule="auto"/>
        <w:ind w:left="0"/>
        <w:jc w:val="left"/>
        <w:outlineLvl w:val="3"/>
      </w:pPr>
      <w:bookmarkStart w:name="heading_88" w:id="88"/>
      <w:r>
        <w:rPr>
          <w:rFonts w:eastAsia="等线" w:ascii="Arial" w:cs="Arial" w:hAnsi="Arial"/>
          <w:b w:val="true"/>
          <w:sz w:val="28"/>
        </w:rPr>
        <w:t>Confidence: HIGH — direct client requirement plus independently confirmed technical mechanism</w:t>
      </w:r>
      <w:bookmarkEnd w:id="88"/>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9" w:id="89"/>
      <w:r>
        <w:rPr>
          <w:rFonts w:eastAsia="等线" w:ascii="Arial" w:cs="Arial" w:hAnsi="Arial"/>
          <w:b w:val="true"/>
          <w:sz w:val="30"/>
        </w:rPr>
        <w:t>SL-17 (new) — Credit note / return matching to invoice or delivery</w:t>
      </w:r>
      <w:bookmarkEnd w:id="89"/>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 NSD-09 open</w:t>
        <w:br/>
      </w:r>
      <w:r>
        <w:rPr>
          <w:rFonts w:eastAsia="等线" w:ascii="Arial" w:cs="Arial" w:hAnsi="Arial"/>
          <w:b w:val="true"/>
          <w:sz w:val="22"/>
        </w:rPr>
        <w:t>Source:</w:t>
      </w:r>
      <w:r>
        <w:rPr>
          <w:rFonts w:eastAsia="Consolas" w:ascii="Consolas" w:cs="Consolas" w:hAnsi="Consolas"/>
          <w:sz w:val="22"/>
          <w:shd w:fill="EFF0F1"/>
        </w:rPr>
        <w:t>[Ivan RG Notes | §18]</w:t>
      </w:r>
      <w:r>
        <w:rPr>
          <w:rFonts w:eastAsia="等线" w:ascii="Arial" w:cs="Arial" w:hAnsi="Arial"/>
          <w:sz w:val="22"/>
        </w:rPr>
        <w:t xml:space="preserve"> — returns matched to the original invoice by "which invoice, which day goods sent," not by batch; corroborated by </w:t>
      </w:r>
      <w:r>
        <w:rPr>
          <w:rFonts w:eastAsia="Consolas" w:ascii="Consolas" w:cs="Consolas" w:hAnsi="Consolas"/>
          <w:sz w:val="22"/>
          <w:shd w:fill="EFF0F1"/>
        </w:rPr>
        <w:t>[SAPV | Key Point F]</w:t>
      </w:r>
      <w:r>
        <w:rPr>
          <w:rFonts w:eastAsia="等线" w:ascii="Arial" w:cs="Arial" w:hAnsi="Arial"/>
          <w:sz w:val="22"/>
        </w:rPr>
        <w:t xml:space="preserve"> (multiple invoices per payment, partial knock-off, return notes/refunds linked to invoices)</w:t>
      </w:r>
    </w:p>
    <w:p>
      <w:pPr>
        <w:spacing w:before="120" w:after="120" w:line="288" w:lineRule="auto"/>
        <w:ind w:left="0"/>
        <w:jc w:val="left"/>
      </w:pPr>
      <w:r>
        <w:rPr>
          <w:rFonts w:eastAsia="等线" w:ascii="Arial" w:cs="Arial" w:hAnsi="Arial"/>
          <w:sz w:val="22"/>
        </w:rPr>
        <w:t>Not present in v1.2. No item in the Scope Lock currently owns credit-note/return handling at all.</w:t>
      </w:r>
    </w:p>
    <w:p>
      <w:pPr>
        <w:pStyle w:val="4"/>
        <w:spacing w:before="260" w:after="120" w:line="288" w:lineRule="auto"/>
        <w:ind w:left="0"/>
        <w:jc w:val="left"/>
        <w:outlineLvl w:val="3"/>
      </w:pPr>
      <w:bookmarkStart w:name="heading_90" w:id="90"/>
      <w:r>
        <w:rPr>
          <w:rFonts w:eastAsia="等线" w:ascii="Arial" w:cs="Arial" w:hAnsi="Arial"/>
          <w:b w:val="true"/>
          <w:sz w:val="28"/>
        </w:rPr>
        <w:t>User-facing flow</w:t>
      </w:r>
      <w:bookmarkEnd w:id="90"/>
    </w:p>
    <w:p>
      <w:pPr>
        <w:numPr>
          <w:numId w:val="91"/>
        </w:numPr>
        <w:spacing w:before="120" w:after="120" w:line="288" w:lineRule="auto"/>
        <w:ind w:left="0"/>
        <w:jc w:val="left"/>
      </w:pPr>
      <w:r>
        <w:rPr>
          <w:rFonts w:eastAsia="等线" w:ascii="Arial" w:cs="Arial" w:hAnsi="Arial"/>
          <w:sz w:val="22"/>
        </w:rPr>
        <w:t>User identifies the original invoice/delivery a return relates to (by invoice reference and ship date, not batch number — GST tried batch tracking previously and abandoned it as "too slow, not mature enough")</w:t>
      </w:r>
    </w:p>
    <w:p>
      <w:pPr>
        <w:numPr>
          <w:numId w:val="92"/>
        </w:numPr>
        <w:spacing w:before="120" w:after="120" w:line="288" w:lineRule="auto"/>
        <w:ind w:left="0"/>
        <w:jc w:val="left"/>
      </w:pPr>
      <w:r>
        <w:rPr>
          <w:rFonts w:eastAsia="等线" w:ascii="Arial" w:cs="Arial" w:hAnsi="Arial"/>
          <w:sz w:val="22"/>
        </w:rPr>
        <w:t>Credit note is created against that specific invoice; refund is processed via a payment entry after the return note is created</w:t>
      </w:r>
    </w:p>
    <w:p>
      <w:pPr>
        <w:pStyle w:val="4"/>
        <w:spacing w:before="260" w:after="120" w:line="288" w:lineRule="auto"/>
        <w:ind w:left="0"/>
        <w:jc w:val="left"/>
        <w:outlineLvl w:val="3"/>
      </w:pPr>
      <w:bookmarkStart w:name="heading_91" w:id="91"/>
      <w:r>
        <w:rPr>
          <w:rFonts w:eastAsia="等线" w:ascii="Arial" w:cs="Arial" w:hAnsi="Arial"/>
          <w:b w:val="true"/>
          <w:sz w:val="28"/>
        </w:rPr>
        <w:t>Acceptance criteria</w:t>
      </w:r>
      <w:bookmarkEnd w:id="91"/>
    </w:p>
    <w:p>
      <w:pPr>
        <w:numPr>
          <w:numId w:val="93"/>
        </w:numPr>
        <w:spacing w:before="120" w:after="120" w:line="288" w:lineRule="auto"/>
        <w:ind w:left="0"/>
        <w:jc w:val="left"/>
      </w:pPr>
      <w:r>
        <w:rPr>
          <w:rFonts w:eastAsia="等线" w:ascii="Arial" w:cs="Arial" w:hAnsi="Arial"/>
          <w:sz w:val="22"/>
        </w:rPr>
        <w:t>Credit note creation requires selecting the source invoice/delivery — no account-level credit-balance mechanism</w:t>
      </w:r>
    </w:p>
    <w:p>
      <w:pPr>
        <w:numPr>
          <w:numId w:val="94"/>
        </w:numPr>
        <w:spacing w:before="120" w:after="120" w:line="288" w:lineRule="auto"/>
        <w:ind w:left="0"/>
        <w:jc w:val="left"/>
      </w:pPr>
      <w:r>
        <w:rPr>
          <w:rFonts w:eastAsia="等线" w:ascii="Arial" w:cs="Arial" w:hAnsi="Arial"/>
          <w:sz w:val="22"/>
        </w:rPr>
        <w:t>Batch-level tracking is explicitly not required (consistent with OOS-04)</w:t>
      </w:r>
    </w:p>
    <w:p>
      <w:pPr>
        <w:pStyle w:val="4"/>
        <w:spacing w:before="260" w:after="120" w:line="288" w:lineRule="auto"/>
        <w:ind w:left="0"/>
        <w:jc w:val="left"/>
        <w:outlineLvl w:val="3"/>
      </w:pPr>
      <w:bookmarkStart w:name="heading_92" w:id="92"/>
      <w:r>
        <w:rPr>
          <w:rFonts w:eastAsia="等线" w:ascii="Arial" w:cs="Arial" w:hAnsi="Arial"/>
          <w:b w:val="true"/>
          <w:sz w:val="28"/>
        </w:rPr>
        <w:t>Confidence: HIGH on requirement; MEDIUM on exact SAP writeback mechanics — see NSD-09</w:t>
      </w:r>
      <w:bookmarkEnd w:id="92"/>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3" w:id="93"/>
      <w:r>
        <w:rPr>
          <w:rFonts w:eastAsia="等线" w:ascii="Arial" w:cs="Arial" w:hAnsi="Arial"/>
          <w:b w:val="true"/>
          <w:sz w:val="30"/>
        </w:rPr>
        <w:t>SL-18 (new) — Role-based dashboards (salesperson / logistics / finance / management)</w:t>
      </w:r>
      <w:bookmarkEnd w:id="93"/>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 NSD-10 open</w:t>
        <w:br/>
      </w:r>
      <w:r>
        <w:rPr>
          <w:rFonts w:eastAsia="等线" w:ascii="Arial" w:cs="Arial" w:hAnsi="Arial"/>
          <w:b w:val="true"/>
          <w:sz w:val="22"/>
        </w:rPr>
        <w:t>Source:</w:t>
      </w:r>
      <w:r>
        <w:rPr>
          <w:rFonts w:eastAsia="Consolas" w:ascii="Consolas" w:cs="Consolas" w:hAnsi="Consolas"/>
          <w:sz w:val="22"/>
          <w:shd w:fill="EFF0F1"/>
        </w:rPr>
        <w:t>[Ivan RG Notes | §20.1-20.2]</w:t>
      </w:r>
      <w:r>
        <w:rPr>
          <w:rFonts w:eastAsia="等线" w:ascii="Arial" w:cs="Arial" w:hAnsi="Arial"/>
          <w:sz w:val="22"/>
        </w:rPr>
        <w:t xml:space="preserve">; corroborated by </w:t>
      </w:r>
      <w:r>
        <w:rPr>
          <w:rFonts w:eastAsia="Consolas" w:ascii="Consolas" w:cs="Consolas" w:hAnsi="Consolas"/>
          <w:sz w:val="22"/>
          <w:shd w:fill="EFF0F1"/>
        </w:rPr>
        <w:t>[SOW | §2.2 — User Workspaces: Sales Agent, Finance, Management/Backend Dashboard]</w:t>
      </w:r>
    </w:p>
    <w:p>
      <w:pPr>
        <w:spacing w:before="120" w:after="120" w:line="288" w:lineRule="auto"/>
        <w:ind w:left="0"/>
        <w:jc w:val="left"/>
      </w:pPr>
      <w:r>
        <w:rPr>
          <w:rFonts w:eastAsia="等线" w:ascii="Arial" w:cs="Arial" w:hAnsi="Arial"/>
          <w:sz w:val="22"/>
        </w:rPr>
        <w:t>SOW already describes workspace-level dashboards generically; Ivan's notes add a more specific management ask (salesperson performance vs budget) that isn't yet build-confirmed.</w:t>
      </w:r>
    </w:p>
    <w:p>
      <w:pPr>
        <w:pStyle w:val="4"/>
        <w:spacing w:before="260" w:after="120" w:line="288" w:lineRule="auto"/>
        <w:ind w:left="0"/>
        <w:jc w:val="left"/>
        <w:outlineLvl w:val="3"/>
      </w:pPr>
      <w:bookmarkStart w:name="heading_94" w:id="94"/>
      <w:r>
        <w:rPr>
          <w:rFonts w:eastAsia="等线" w:ascii="Arial" w:cs="Arial" w:hAnsi="Arial"/>
          <w:b w:val="true"/>
          <w:sz w:val="28"/>
        </w:rPr>
        <w:t>User-facing flow</w:t>
      </w:r>
      <w:bookmarkEnd w:id="94"/>
    </w:p>
    <w:p>
      <w:pPr>
        <w:numPr>
          <w:numId w:val="95"/>
        </w:numPr>
        <w:spacing w:before="120" w:after="120" w:line="288" w:lineRule="auto"/>
        <w:ind w:left="0"/>
        <w:jc w:val="left"/>
      </w:pPr>
      <w:r>
        <w:rPr>
          <w:rFonts w:eastAsia="等线" w:ascii="Arial" w:cs="Arial" w:hAnsi="Arial"/>
          <w:sz w:val="22"/>
        </w:rPr>
        <w:t>Each role sees a dashboard tailored to their function: salesperson (own orders/performance), logistics (pick lists/fulfillment), finance (payment/credit queue), management (cross-functional overview)</w:t>
      </w:r>
    </w:p>
    <w:p>
      <w:pPr>
        <w:numPr>
          <w:numId w:val="96"/>
        </w:numPr>
        <w:spacing w:before="120" w:after="120" w:line="288" w:lineRule="auto"/>
        <w:ind w:left="0"/>
        <w:jc w:val="left"/>
      </w:pPr>
      <w:r>
        <w:rPr>
          <w:rFonts w:eastAsia="等线" w:ascii="Arial" w:cs="Arial" w:hAnsi="Arial"/>
          <w:sz w:val="22"/>
        </w:rPr>
        <w:t>Management dashboard specifically includes salesperson performance vs budget visibility</w:t>
      </w:r>
    </w:p>
    <w:p>
      <w:pPr>
        <w:pStyle w:val="4"/>
        <w:spacing w:before="260" w:after="120" w:line="288" w:lineRule="auto"/>
        <w:ind w:left="0"/>
        <w:jc w:val="left"/>
        <w:outlineLvl w:val="3"/>
      </w:pPr>
      <w:bookmarkStart w:name="heading_95" w:id="95"/>
      <w:r>
        <w:rPr>
          <w:rFonts w:eastAsia="等线" w:ascii="Arial" w:cs="Arial" w:hAnsi="Arial"/>
          <w:b w:val="true"/>
          <w:sz w:val="28"/>
        </w:rPr>
        <w:t>Acceptance criteria</w:t>
      </w:r>
      <w:bookmarkEnd w:id="95"/>
    </w:p>
    <w:p>
      <w:pPr>
        <w:numPr>
          <w:numId w:val="97"/>
        </w:numPr>
        <w:spacing w:before="120" w:after="120" w:line="288" w:lineRule="auto"/>
        <w:ind w:left="0"/>
        <w:jc w:val="left"/>
      </w:pPr>
      <w:r>
        <w:rPr>
          <w:rFonts w:eastAsia="等线" w:ascii="Arial" w:cs="Arial" w:hAnsi="Arial"/>
          <w:sz w:val="22"/>
        </w:rPr>
        <w:t>Each of the 4 roles has a dedicated dashboard view</w:t>
      </w:r>
    </w:p>
    <w:p>
      <w:pPr>
        <w:numPr>
          <w:numId w:val="98"/>
        </w:numPr>
        <w:spacing w:before="120" w:after="120" w:line="288" w:lineRule="auto"/>
        <w:ind w:left="0"/>
        <w:jc w:val="left"/>
      </w:pPr>
      <w:r>
        <w:rPr>
          <w:rFonts w:eastAsia="等线" w:ascii="Arial" w:cs="Arial" w:hAnsi="Arial"/>
          <w:sz w:val="22"/>
        </w:rPr>
        <w:t>Management view surfaces up-to-date sales vs budget — source and refresh cadence of budget figures still open, see NSD-10</w:t>
      </w:r>
    </w:p>
    <w:p>
      <w:pPr>
        <w:pStyle w:val="4"/>
        <w:spacing w:before="260" w:after="120" w:line="288" w:lineRule="auto"/>
        <w:ind w:left="0"/>
        <w:jc w:val="left"/>
        <w:outlineLvl w:val="3"/>
      </w:pPr>
      <w:bookmarkStart w:name="heading_96" w:id="96"/>
      <w:r>
        <w:rPr>
          <w:rFonts w:eastAsia="等线" w:ascii="Arial" w:cs="Arial" w:hAnsi="Arial"/>
          <w:b w:val="true"/>
          <w:sz w:val="28"/>
        </w:rPr>
        <w:t>Confidence: MEDIUM — generic workspace dashboards are well-evidenced (SOW); the specific sales-vs-budget metric is a newer, more specific ask not yet scoped</w:t>
      </w:r>
      <w:bookmarkEnd w:id="96"/>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7" w:id="97"/>
      <w:r>
        <w:rPr>
          <w:rFonts w:eastAsia="等线" w:ascii="Arial" w:cs="Arial" w:hAnsi="Arial"/>
          <w:b w:val="true"/>
          <w:sz w:val="30"/>
        </w:rPr>
        <w:t>SL-19 (new) — Substitution-on-out-of-stock advisory flow</w:t>
      </w:r>
      <w:bookmarkEnd w:id="97"/>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 NSD-11 open</w:t>
        <w:br/>
      </w:r>
      <w:r>
        <w:rPr>
          <w:rFonts w:eastAsia="等线" w:ascii="Arial" w:cs="Arial" w:hAnsi="Arial"/>
          <w:b w:val="true"/>
          <w:sz w:val="22"/>
        </w:rPr>
        <w:t>Source:</w:t>
      </w:r>
      <w:r>
        <w:rPr>
          <w:rFonts w:eastAsia="Consolas" w:ascii="Consolas" w:cs="Consolas" w:hAnsi="Consolas"/>
          <w:sz w:val="22"/>
          <w:shd w:fill="EFF0F1"/>
        </w:rPr>
        <w:t>[Ivan RG Notes | §12]</w:t>
      </w:r>
      <w:r>
        <w:rPr>
          <w:rFonts w:eastAsia="等线" w:ascii="Arial" w:cs="Arial" w:hAnsi="Arial"/>
          <w:sz w:val="22"/>
        </w:rPr>
        <w:t xml:space="preserve">; corroborated by </w:t>
      </w:r>
      <w:r>
        <w:rPr>
          <w:rFonts w:eastAsia="Consolas" w:ascii="Consolas" w:cs="Consolas" w:hAnsi="Consolas"/>
          <w:sz w:val="22"/>
          <w:shd w:fill="EFF0F1"/>
        </w:rPr>
        <w:t>[RG | Special Workflows — Substitute item handling]</w:t>
      </w:r>
    </w:p>
    <w:p>
      <w:pPr>
        <w:spacing w:before="120" w:after="120" w:line="288" w:lineRule="auto"/>
        <w:ind w:left="0"/>
        <w:jc w:val="left"/>
      </w:pPr>
      <w:r>
        <w:rPr>
          <w:rFonts w:eastAsia="等线" w:ascii="Arial" w:cs="Arial" w:hAnsi="Arial"/>
          <w:sz w:val="22"/>
        </w:rPr>
        <w:t>Distinct from SL-02 (which matches customer wording to an item) — this is a stock-driven substitution trigger, not a wording-match problem.</w:t>
      </w:r>
    </w:p>
    <w:p>
      <w:pPr>
        <w:pStyle w:val="4"/>
        <w:spacing w:before="260" w:after="120" w:line="288" w:lineRule="auto"/>
        <w:ind w:left="0"/>
        <w:jc w:val="left"/>
        <w:outlineLvl w:val="3"/>
      </w:pPr>
      <w:bookmarkStart w:name="heading_98" w:id="98"/>
      <w:r>
        <w:rPr>
          <w:rFonts w:eastAsia="等线" w:ascii="Arial" w:cs="Arial" w:hAnsi="Arial"/>
          <w:b w:val="true"/>
          <w:sz w:val="28"/>
        </w:rPr>
        <w:t>User-facing flow</w:t>
      </w:r>
      <w:bookmarkEnd w:id="98"/>
    </w:p>
    <w:p>
      <w:pPr>
        <w:numPr>
          <w:numId w:val="99"/>
        </w:numPr>
        <w:spacing w:before="120" w:after="120" w:line="288" w:lineRule="auto"/>
        <w:ind w:left="0"/>
        <w:jc w:val="left"/>
      </w:pPr>
      <w:r>
        <w:rPr>
          <w:rFonts w:eastAsia="等线" w:ascii="Arial" w:cs="Arial" w:hAnsi="Arial"/>
          <w:sz w:val="22"/>
        </w:rPr>
        <w:t>When the ordered/matched item is out of stock, MAIA surfaces the nearest substitute (same species/type, different size or spec)</w:t>
      </w:r>
    </w:p>
    <w:p>
      <w:pPr>
        <w:numPr>
          <w:numId w:val="100"/>
        </w:numPr>
        <w:spacing w:before="120" w:after="120" w:line="288" w:lineRule="auto"/>
        <w:ind w:left="0"/>
        <w:jc w:val="left"/>
      </w:pPr>
      <w:r>
        <w:rPr>
          <w:rFonts w:eastAsia="等线" w:ascii="Arial" w:cs="Arial" w:hAnsi="Arial"/>
          <w:sz w:val="22"/>
        </w:rPr>
        <w:t>Salesperson reviews and confirms with the customer before applying the substitution — never auto-applied</w:t>
      </w:r>
    </w:p>
    <w:p>
      <w:pPr>
        <w:pStyle w:val="4"/>
        <w:spacing w:before="260" w:after="120" w:line="288" w:lineRule="auto"/>
        <w:ind w:left="0"/>
        <w:jc w:val="left"/>
        <w:outlineLvl w:val="3"/>
      </w:pPr>
      <w:bookmarkStart w:name="heading_99" w:id="99"/>
      <w:r>
        <w:rPr>
          <w:rFonts w:eastAsia="等线" w:ascii="Arial" w:cs="Arial" w:hAnsi="Arial"/>
          <w:b w:val="true"/>
          <w:sz w:val="28"/>
        </w:rPr>
        <w:t>Acceptance criteria</w:t>
      </w:r>
      <w:bookmarkEnd w:id="99"/>
    </w:p>
    <w:p>
      <w:pPr>
        <w:numPr>
          <w:numId w:val="101"/>
        </w:numPr>
        <w:spacing w:before="120" w:after="120" w:line="288" w:lineRule="auto"/>
        <w:ind w:left="0"/>
        <w:jc w:val="left"/>
      </w:pPr>
      <w:r>
        <w:rPr>
          <w:rFonts w:eastAsia="等线" w:ascii="Arial" w:cs="Arial" w:hAnsi="Arial"/>
          <w:sz w:val="22"/>
        </w:rPr>
        <w:t>Substitution suggestion triggers only on confirmed insufficient stock, distinct from SL-02's wording-match trigger</w:t>
      </w:r>
    </w:p>
    <w:p>
      <w:pPr>
        <w:numPr>
          <w:numId w:val="102"/>
        </w:numPr>
        <w:spacing w:before="120" w:after="120" w:line="288" w:lineRule="auto"/>
        <w:ind w:left="0"/>
        <w:jc w:val="left"/>
      </w:pPr>
      <w:r>
        <w:rPr>
          <w:rFonts w:eastAsia="等线" w:ascii="Arial" w:cs="Arial" w:hAnsi="Arial"/>
          <w:sz w:val="22"/>
        </w:rPr>
        <w:t>Customer confirmation is required before the substitution is applied to the order</w:t>
      </w:r>
    </w:p>
    <w:p>
      <w:pPr>
        <w:pStyle w:val="4"/>
        <w:spacing w:before="260" w:after="120" w:line="288" w:lineRule="auto"/>
        <w:ind w:left="0"/>
        <w:jc w:val="left"/>
        <w:outlineLvl w:val="3"/>
      </w:pPr>
      <w:bookmarkStart w:name="heading_100" w:id="100"/>
      <w:r>
        <w:rPr>
          <w:rFonts w:eastAsia="等线" w:ascii="Arial" w:cs="Arial" w:hAnsi="Arial"/>
          <w:b w:val="true"/>
          <w:sz w:val="28"/>
        </w:rPr>
        <w:t>Confidence: HIGH on requirement (independently documented twice); MEDIUM on whether this shares SL-02's matching engine or needs separate logic — see NSD-11</w:t>
      </w:r>
      <w:bookmarkEnd w:id="100"/>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1" w:id="101"/>
      <w:r>
        <w:rPr>
          <w:rFonts w:eastAsia="等线" w:ascii="Arial" w:cs="Arial" w:hAnsi="Arial"/>
          <w:b w:val="true"/>
          <w:sz w:val="32"/>
        </w:rPr>
        <w:t>5. Needs-Scoping Register</w:t>
      </w:r>
      <w:bookmarkEnd w:id="101"/>
    </w:p>
    <w:p>
      <w:pPr>
        <w:pStyle w:val="3"/>
        <w:spacing w:before="300" w:after="120" w:line="288" w:lineRule="auto"/>
        <w:ind w:left="0"/>
        <w:jc w:val="left"/>
        <w:outlineLvl w:val="2"/>
      </w:pPr>
      <w:bookmarkStart w:name="heading_102" w:id="102"/>
      <w:r>
        <w:rPr>
          <w:rFonts w:eastAsia="等线" w:ascii="Arial" w:cs="Arial" w:hAnsi="Arial"/>
          <w:b w:val="true"/>
          <w:sz w:val="30"/>
        </w:rPr>
        <w:t>NSD-01 — Document format samples</w:t>
      </w:r>
      <w:bookmarkEnd w:id="102"/>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SCOPING / TECHNICAL DETAIL — carried, unchanged</w:t>
        <w:br/>
      </w:r>
      <w:r>
        <w:rPr>
          <w:rFonts w:eastAsia="等线" w:ascii="Arial" w:cs="Arial" w:hAnsi="Arial"/>
          <w:b w:val="true"/>
          <w:sz w:val="22"/>
        </w:rPr>
        <w:t>Source:</w:t>
      </w:r>
      <w:r>
        <w:rPr>
          <w:rFonts w:eastAsia="Consolas" w:ascii="Consolas" w:cs="Consolas" w:hAnsi="Consolas"/>
          <w:sz w:val="22"/>
          <w:shd w:fill="EFF0F1"/>
        </w:rPr>
        <w:t>[FF-RG-A][CSV | PDF Generation, 5 of 6 types Not Started]</w:t>
      </w:r>
    </w:p>
    <w:p>
      <w:pPr>
        <w:pStyle w:val="4"/>
        <w:spacing w:before="260" w:after="120" w:line="288" w:lineRule="auto"/>
        <w:ind w:left="0"/>
        <w:jc w:val="left"/>
        <w:outlineLvl w:val="3"/>
      </w:pPr>
      <w:bookmarkStart w:name="heading_103" w:id="103"/>
      <w:r>
        <w:rPr>
          <w:rFonts w:eastAsia="等线" w:ascii="Arial" w:cs="Arial" w:hAnsi="Arial"/>
          <w:b w:val="true"/>
          <w:sz w:val="28"/>
        </w:rPr>
        <w:t>Issue</w:t>
      </w:r>
      <w:bookmarkEnd w:id="103"/>
    </w:p>
    <w:p>
      <w:pPr>
        <w:numPr>
          <w:numId w:val="103"/>
        </w:numPr>
        <w:spacing w:before="120" w:after="120" w:line="288" w:lineRule="auto"/>
        <w:ind w:left="0"/>
        <w:jc w:val="left"/>
      </w:pPr>
      <w:r>
        <w:rPr>
          <w:rFonts w:eastAsia="等线" w:ascii="Arial" w:cs="Arial" w:hAnsi="Arial"/>
          <w:sz w:val="22"/>
        </w:rPr>
        <w:t>MAIA must match GST document formats, but document samples are pending</w:t>
      </w:r>
    </w:p>
    <w:p>
      <w:pPr>
        <w:pStyle w:val="4"/>
        <w:spacing w:before="260" w:after="120" w:line="288" w:lineRule="auto"/>
        <w:ind w:left="0"/>
        <w:jc w:val="left"/>
        <w:outlineLvl w:val="3"/>
      </w:pPr>
      <w:bookmarkStart w:name="heading_104" w:id="104"/>
      <w:r>
        <w:rPr>
          <w:rFonts w:eastAsia="等线" w:ascii="Arial" w:cs="Arial" w:hAnsi="Arial"/>
          <w:b w:val="true"/>
          <w:sz w:val="28"/>
        </w:rPr>
        <w:t>Required decision / input</w:t>
      </w:r>
      <w:bookmarkEnd w:id="104"/>
    </w:p>
    <w:p>
      <w:pPr>
        <w:numPr>
          <w:numId w:val="104"/>
        </w:numPr>
        <w:spacing w:before="120" w:after="120" w:line="288" w:lineRule="auto"/>
        <w:ind w:left="0"/>
        <w:jc w:val="left"/>
      </w:pPr>
      <w:r>
        <w:rPr>
          <w:rFonts w:eastAsia="等线" w:ascii="Arial" w:cs="Arial" w:hAnsi="Arial"/>
          <w:sz w:val="22"/>
        </w:rPr>
        <w:t>GST must provide samples for all in-scope generated documents</w:t>
      </w:r>
    </w:p>
    <w:p>
      <w:pPr>
        <w:pStyle w:val="4"/>
        <w:spacing w:before="260" w:after="120" w:line="288" w:lineRule="auto"/>
        <w:ind w:left="0"/>
        <w:jc w:val="left"/>
        <w:outlineLvl w:val="3"/>
      </w:pPr>
      <w:bookmarkStart w:name="heading_105" w:id="105"/>
      <w:r>
        <w:rPr>
          <w:rFonts w:eastAsia="等线" w:ascii="Arial" w:cs="Arial" w:hAnsi="Arial"/>
          <w:b w:val="true"/>
          <w:sz w:val="28"/>
        </w:rPr>
        <w:t>Blocking: YES — for document UAT</w:t>
      </w:r>
      <w:bookmarkEnd w:id="105"/>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6" w:id="106"/>
      <w:r>
        <w:rPr>
          <w:rFonts w:eastAsia="等线" w:ascii="Arial" w:cs="Arial" w:hAnsi="Arial"/>
          <w:b w:val="true"/>
          <w:sz w:val="30"/>
        </w:rPr>
        <w:t>NSD-02 — Blanket Order / Agreement behaviour</w:t>
      </w:r>
      <w:bookmarkEnd w:id="106"/>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SCOPING / TECHNICAL DETAIL — carried, unchanged</w:t>
        <w:br/>
      </w:r>
      <w:r>
        <w:rPr>
          <w:rFonts w:eastAsia="等线" w:ascii="Arial" w:cs="Arial" w:hAnsi="Arial"/>
          <w:b w:val="true"/>
          <w:sz w:val="22"/>
        </w:rPr>
        <w:t>Source:</w:t>
      </w:r>
      <w:r>
        <w:rPr>
          <w:rFonts w:eastAsia="Consolas" w:ascii="Consolas" w:cs="Consolas" w:hAnsi="Consolas"/>
          <w:sz w:val="22"/>
          <w:shd w:fill="EFF0F1"/>
        </w:rPr>
        <w:t>[FF-RG-A | pricing / Blanket Agreement]</w:t>
      </w:r>
    </w:p>
    <w:p>
      <w:pPr>
        <w:pStyle w:val="4"/>
        <w:spacing w:before="260" w:after="120" w:line="288" w:lineRule="auto"/>
        <w:ind w:left="0"/>
        <w:jc w:val="left"/>
        <w:outlineLvl w:val="3"/>
      </w:pPr>
      <w:bookmarkStart w:name="heading_107" w:id="107"/>
      <w:r>
        <w:rPr>
          <w:rFonts w:eastAsia="等线" w:ascii="Arial" w:cs="Arial" w:hAnsi="Arial"/>
          <w:b w:val="true"/>
          <w:sz w:val="28"/>
        </w:rPr>
        <w:t>Issue</w:t>
      </w:r>
      <w:bookmarkEnd w:id="107"/>
    </w:p>
    <w:p>
      <w:pPr>
        <w:numPr>
          <w:numId w:val="105"/>
        </w:numPr>
        <w:spacing w:before="120" w:after="120" w:line="288" w:lineRule="auto"/>
        <w:ind w:left="0"/>
        <w:jc w:val="left"/>
      </w:pPr>
      <w:r>
        <w:rPr>
          <w:rFonts w:eastAsia="等线" w:ascii="Arial" w:cs="Arial" w:hAnsi="Arial"/>
          <w:sz w:val="22"/>
        </w:rPr>
        <w:t>GST's SAP Blanket Order/Blanket Agreement functionality is richer than current MAIA support</w:t>
      </w:r>
    </w:p>
    <w:p>
      <w:pPr>
        <w:pStyle w:val="4"/>
        <w:spacing w:before="260" w:after="120" w:line="288" w:lineRule="auto"/>
        <w:ind w:left="0"/>
        <w:jc w:val="left"/>
        <w:outlineLvl w:val="3"/>
      </w:pPr>
      <w:bookmarkStart w:name="heading_108" w:id="108"/>
      <w:r>
        <w:rPr>
          <w:rFonts w:eastAsia="等线" w:ascii="Arial" w:cs="Arial" w:hAnsi="Arial"/>
          <w:b w:val="true"/>
          <w:sz w:val="28"/>
        </w:rPr>
        <w:t>Required decision / input</w:t>
      </w:r>
      <w:bookmarkEnd w:id="108"/>
    </w:p>
    <w:p>
      <w:pPr>
        <w:numPr>
          <w:numId w:val="106"/>
        </w:numPr>
        <w:spacing w:before="120" w:after="120" w:line="288" w:lineRule="auto"/>
        <w:ind w:left="0"/>
        <w:jc w:val="left"/>
      </w:pPr>
      <w:r>
        <w:rPr>
          <w:rFonts w:eastAsia="等线" w:ascii="Arial" w:cs="Arial" w:hAnsi="Arial"/>
          <w:sz w:val="22"/>
        </w:rPr>
        <w:t>Walk through GST's SAP Blanket Order/Agreement behaviour and map fields, lifecycle, price application, validity, and writeback</w:t>
      </w:r>
    </w:p>
    <w:p>
      <w:pPr>
        <w:pStyle w:val="4"/>
        <w:spacing w:before="260" w:after="120" w:line="288" w:lineRule="auto"/>
        <w:ind w:left="0"/>
        <w:jc w:val="left"/>
        <w:outlineLvl w:val="3"/>
      </w:pPr>
      <w:bookmarkStart w:name="heading_109" w:id="109"/>
      <w:r>
        <w:rPr>
          <w:rFonts w:eastAsia="等线" w:ascii="Arial" w:cs="Arial" w:hAnsi="Arial"/>
          <w:b w:val="true"/>
          <w:sz w:val="28"/>
        </w:rPr>
        <w:t>Blocking: YES — for pricing/order accuracy</w:t>
      </w:r>
      <w:bookmarkEnd w:id="109"/>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0" w:id="110"/>
      <w:r>
        <w:rPr>
          <w:rFonts w:eastAsia="等线" w:ascii="Arial" w:cs="Arial" w:hAnsi="Arial"/>
          <w:b w:val="true"/>
          <w:sz w:val="30"/>
        </w:rPr>
        <w:t>NSD-03 — SOA portal security settings</w:t>
      </w:r>
      <w:bookmarkEnd w:id="110"/>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SCOPING / TECHNICAL DETAIL — carried, unchanged</w:t>
        <w:br/>
      </w:r>
      <w:r>
        <w:rPr>
          <w:rFonts w:eastAsia="等线" w:ascii="Arial" w:cs="Arial" w:hAnsi="Arial"/>
          <w:b w:val="true"/>
          <w:sz w:val="22"/>
        </w:rPr>
        <w:t>Source:</w:t>
      </w:r>
      <w:r>
        <w:rPr>
          <w:rFonts w:eastAsia="Consolas" w:ascii="Consolas" w:cs="Consolas" w:hAnsi="Consolas"/>
          <w:sz w:val="22"/>
          <w:shd w:fill="EFF0F1"/>
        </w:rPr>
        <w:t>[FF-RG-A | SOA link security]</w:t>
      </w:r>
    </w:p>
    <w:p>
      <w:pPr>
        <w:pStyle w:val="4"/>
        <w:spacing w:before="260" w:after="120" w:line="288" w:lineRule="auto"/>
        <w:ind w:left="0"/>
        <w:jc w:val="left"/>
        <w:outlineLvl w:val="3"/>
      </w:pPr>
      <w:bookmarkStart w:name="heading_111" w:id="111"/>
      <w:r>
        <w:rPr>
          <w:rFonts w:eastAsia="等线" w:ascii="Arial" w:cs="Arial" w:hAnsi="Arial"/>
          <w:b w:val="true"/>
          <w:sz w:val="28"/>
        </w:rPr>
        <w:t>Issue</w:t>
      </w:r>
      <w:bookmarkEnd w:id="111"/>
    </w:p>
    <w:p>
      <w:pPr>
        <w:numPr>
          <w:numId w:val="107"/>
        </w:numPr>
        <w:spacing w:before="120" w:after="120" w:line="288" w:lineRule="auto"/>
        <w:ind w:left="0"/>
        <w:jc w:val="left"/>
      </w:pPr>
      <w:r>
        <w:rPr>
          <w:rFonts w:eastAsia="等线" w:ascii="Arial" w:cs="Arial" w:hAnsi="Arial"/>
          <w:sz w:val="22"/>
        </w:rPr>
        <w:t>SOA portal behaviour is locked (SL-07), but exact security settings are not</w:t>
      </w:r>
    </w:p>
    <w:p>
      <w:pPr>
        <w:pStyle w:val="4"/>
        <w:spacing w:before="260" w:after="120" w:line="288" w:lineRule="auto"/>
        <w:ind w:left="0"/>
        <w:jc w:val="left"/>
        <w:outlineLvl w:val="3"/>
      </w:pPr>
      <w:bookmarkStart w:name="heading_112" w:id="112"/>
      <w:r>
        <w:rPr>
          <w:rFonts w:eastAsia="等线" w:ascii="Arial" w:cs="Arial" w:hAnsi="Arial"/>
          <w:b w:val="true"/>
          <w:sz w:val="28"/>
        </w:rPr>
        <w:t>Required decision / input</w:t>
      </w:r>
      <w:bookmarkEnd w:id="112"/>
    </w:p>
    <w:p>
      <w:pPr>
        <w:numPr>
          <w:numId w:val="108"/>
        </w:numPr>
        <w:spacing w:before="120" w:after="120" w:line="288" w:lineRule="auto"/>
        <w:ind w:left="0"/>
        <w:jc w:val="left"/>
      </w:pPr>
      <w:r>
        <w:rPr>
          <w:rFonts w:eastAsia="等线" w:ascii="Arial" w:cs="Arial" w:hAnsi="Arial"/>
          <w:sz w:val="22"/>
        </w:rPr>
        <w:t>Link expiry period, password generation method, password delivery method, access logging, revocation audit, and the document list exposed in the portal</w:t>
      </w:r>
    </w:p>
    <w:p>
      <w:pPr>
        <w:pStyle w:val="4"/>
        <w:spacing w:before="260" w:after="120" w:line="288" w:lineRule="auto"/>
        <w:ind w:left="0"/>
        <w:jc w:val="left"/>
        <w:outlineLvl w:val="3"/>
      </w:pPr>
      <w:bookmarkStart w:name="heading_113" w:id="113"/>
      <w:r>
        <w:rPr>
          <w:rFonts w:eastAsia="等线" w:ascii="Arial" w:cs="Arial" w:hAnsi="Arial"/>
          <w:b w:val="true"/>
          <w:sz w:val="28"/>
        </w:rPr>
        <w:t>Blocking: YES — for production SOA portal release</w:t>
      </w:r>
      <w:bookmarkEnd w:id="113"/>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4" w:id="114"/>
      <w:r>
        <w:rPr>
          <w:rFonts w:eastAsia="等线" w:ascii="Arial" w:cs="Arial" w:hAnsi="Arial"/>
          <w:b w:val="true"/>
          <w:sz w:val="30"/>
        </w:rPr>
        <w:t>NSD-04 — Inventory sync cadence</w:t>
      </w:r>
      <w:bookmarkEnd w:id="114"/>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SCOPING / TECHNICAL DETAIL — carried, unchanged</w:t>
        <w:br/>
      </w:r>
      <w:r>
        <w:rPr>
          <w:rFonts w:eastAsia="等线" w:ascii="Arial" w:cs="Arial" w:hAnsi="Arial"/>
          <w:b w:val="true"/>
          <w:sz w:val="22"/>
        </w:rPr>
        <w:t>Source:</w:t>
      </w:r>
      <w:r>
        <w:rPr>
          <w:rFonts w:eastAsia="Consolas" w:ascii="Consolas" w:cs="Consolas" w:hAnsi="Consolas"/>
          <w:sz w:val="22"/>
          <w:shd w:fill="EFF0F1"/>
        </w:rPr>
        <w:t>[SAP-VENDOR | SAP sync / middleware architecture]</w:t>
      </w:r>
      <w:r>
        <w:rPr>
          <w:rFonts w:eastAsia="等线" w:ascii="Arial" w:cs="Arial" w:hAnsi="Arial"/>
          <w:sz w:val="22"/>
        </w:rPr>
        <w:t xml:space="preserve">; independently corroborated as unresolved in </w:t>
      </w:r>
      <w:r>
        <w:rPr>
          <w:rFonts w:eastAsia="Consolas" w:ascii="Consolas" w:cs="Consolas" w:hAnsi="Consolas"/>
          <w:sz w:val="22"/>
          <w:shd w:fill="EFF0F1"/>
        </w:rPr>
        <w:t>[SAPV | Key Point E]</w:t>
      </w:r>
      <w:r>
        <w:rPr>
          <w:rFonts w:eastAsia="等线" w:ascii="Arial" w:cs="Arial" w:hAnsi="Arial"/>
          <w:sz w:val="22"/>
        </w:rPr>
        <w:t xml:space="preserve"> and </w:t>
      </w:r>
      <w:r>
        <w:rPr>
          <w:rFonts w:eastAsia="Consolas" w:ascii="Consolas" w:cs="Consolas" w:hAnsi="Consolas"/>
          <w:sz w:val="22"/>
          <w:shd w:fill="EFF0F1"/>
        </w:rPr>
        <w:t>[GTM | §5]</w:t>
      </w:r>
      <w:r>
        <w:rPr>
          <w:rFonts w:eastAsia="等线" w:ascii="Arial" w:cs="Arial" w:hAnsi="Arial"/>
          <w:sz w:val="22"/>
        </w:rPr>
        <w:t xml:space="preserve"> — GST's own IT team engaged directly on this in the 2026-05-19 session, but no number was pinned down</w:t>
      </w:r>
    </w:p>
    <w:p>
      <w:pPr>
        <w:pStyle w:val="4"/>
        <w:spacing w:before="260" w:after="120" w:line="288" w:lineRule="auto"/>
        <w:ind w:left="0"/>
        <w:jc w:val="left"/>
        <w:outlineLvl w:val="3"/>
      </w:pPr>
      <w:bookmarkStart w:name="heading_115" w:id="115"/>
      <w:r>
        <w:rPr>
          <w:rFonts w:eastAsia="等线" w:ascii="Arial" w:cs="Arial" w:hAnsi="Arial"/>
          <w:b w:val="true"/>
          <w:sz w:val="28"/>
        </w:rPr>
        <w:t>Issue</w:t>
      </w:r>
      <w:bookmarkEnd w:id="115"/>
    </w:p>
    <w:p>
      <w:pPr>
        <w:numPr>
          <w:numId w:val="109"/>
        </w:numPr>
        <w:spacing w:before="120" w:after="120" w:line="288" w:lineRule="auto"/>
        <w:ind w:left="0"/>
        <w:jc w:val="left"/>
      </w:pPr>
      <w:r>
        <w:rPr>
          <w:rFonts w:eastAsia="等线" w:ascii="Arial" w:cs="Arial" w:hAnsi="Arial"/>
          <w:sz w:val="22"/>
        </w:rPr>
        <w:t>MAIA will reflect SAP inventory based on sync jobs (SAP → MAIA, after a stock-transformation event); sync cadence affects stock accuracy and user trust</w:t>
      </w:r>
    </w:p>
    <w:p>
      <w:pPr>
        <w:pStyle w:val="4"/>
        <w:spacing w:before="260" w:after="120" w:line="288" w:lineRule="auto"/>
        <w:ind w:left="0"/>
        <w:jc w:val="left"/>
        <w:outlineLvl w:val="3"/>
      </w:pPr>
      <w:bookmarkStart w:name="heading_116" w:id="116"/>
      <w:r>
        <w:rPr>
          <w:rFonts w:eastAsia="等线" w:ascii="Arial" w:cs="Arial" w:hAnsi="Arial"/>
          <w:b w:val="true"/>
          <w:sz w:val="28"/>
        </w:rPr>
        <w:t>Required decision / input</w:t>
      </w:r>
      <w:bookmarkEnd w:id="116"/>
    </w:p>
    <w:p>
      <w:pPr>
        <w:numPr>
          <w:numId w:val="110"/>
        </w:numPr>
        <w:spacing w:before="120" w:after="120" w:line="288" w:lineRule="auto"/>
        <w:ind w:left="0"/>
        <w:jc w:val="left"/>
      </w:pPr>
      <w:r>
        <w:rPr>
          <w:rFonts w:eastAsia="等线" w:ascii="Arial" w:cs="Arial" w:hAnsi="Arial"/>
          <w:sz w:val="22"/>
        </w:rPr>
        <w:t>Confirm acceptable sync interval and whether any objects need near-real-time sync</w:t>
      </w:r>
    </w:p>
    <w:p>
      <w:pPr>
        <w:pStyle w:val="4"/>
        <w:spacing w:before="260" w:after="120" w:line="288" w:lineRule="auto"/>
        <w:ind w:left="0"/>
        <w:jc w:val="left"/>
        <w:outlineLvl w:val="3"/>
      </w:pPr>
      <w:bookmarkStart w:name="heading_117" w:id="117"/>
      <w:r>
        <w:rPr>
          <w:rFonts w:eastAsia="等线" w:ascii="Arial" w:cs="Arial" w:hAnsi="Arial"/>
          <w:b w:val="true"/>
          <w:sz w:val="28"/>
        </w:rPr>
        <w:t>Blocking: YES — for inventory-visibility acceptance</w:t>
      </w:r>
      <w:bookmarkEnd w:id="117"/>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8" w:id="118"/>
      <w:r>
        <w:rPr>
          <w:rFonts w:eastAsia="等线" w:ascii="Arial" w:cs="Arial" w:hAnsi="Arial"/>
          <w:b w:val="true"/>
          <w:sz w:val="30"/>
        </w:rPr>
        <w:t>NSD-05 (new) — Sales check-in / customer-visit-location reporting</w:t>
      </w:r>
      <w:bookmarkEnd w:id="118"/>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SCOPING / TECHNICAL DETAIL — new</w:t>
        <w:br/>
      </w:r>
      <w:r>
        <w:rPr>
          <w:rFonts w:eastAsia="等线" w:ascii="Arial" w:cs="Arial" w:hAnsi="Arial"/>
          <w:b w:val="true"/>
          <w:sz w:val="22"/>
        </w:rPr>
        <w:t>Source:</w:t>
      </w:r>
      <w:r>
        <w:rPr>
          <w:rFonts w:eastAsia="Consolas" w:ascii="Consolas" w:cs="Consolas" w:hAnsi="Consolas"/>
          <w:sz w:val="22"/>
          <w:shd w:fill="EFF0F1"/>
        </w:rPr>
        <w:t>[DOSSIER | B1 rank 5, B6, B9]</w:t>
      </w:r>
    </w:p>
    <w:p>
      <w:pPr>
        <w:pStyle w:val="4"/>
        <w:spacing w:before="260" w:after="120" w:line="288" w:lineRule="auto"/>
        <w:ind w:left="0"/>
        <w:jc w:val="left"/>
        <w:outlineLvl w:val="3"/>
      </w:pPr>
      <w:bookmarkStart w:name="heading_119" w:id="119"/>
      <w:r>
        <w:rPr>
          <w:rFonts w:eastAsia="等线" w:ascii="Arial" w:cs="Arial" w:hAnsi="Arial"/>
          <w:b w:val="true"/>
          <w:sz w:val="28"/>
        </w:rPr>
        <w:t>Issue</w:t>
      </w:r>
      <w:bookmarkEnd w:id="119"/>
    </w:p>
    <w:p>
      <w:pPr>
        <w:numPr>
          <w:numId w:val="111"/>
        </w:numPr>
        <w:spacing w:before="120" w:after="120" w:line="288" w:lineRule="auto"/>
        <w:ind w:left="0"/>
        <w:jc w:val="left"/>
      </w:pPr>
      <w:r>
        <w:rPr>
          <w:rFonts w:eastAsia="等线" w:ascii="Arial" w:cs="Arial" w:hAnsi="Arial"/>
          <w:sz w:val="22"/>
        </w:rPr>
        <w:t>Soo Chin requested this 2026-05-07/08; Ivan told her MAIA doesn't currently have it</w:t>
      </w:r>
    </w:p>
    <w:p>
      <w:pPr>
        <w:numPr>
          <w:numId w:val="112"/>
        </w:numPr>
        <w:spacing w:before="120" w:after="120" w:line="288" w:lineRule="auto"/>
        <w:ind w:left="0"/>
        <w:jc w:val="left"/>
      </w:pPr>
      <w:r>
        <w:rPr>
          <w:rFonts w:eastAsia="等线" w:ascii="Arial" w:cs="Arial" w:hAnsi="Arial"/>
          <w:sz w:val="22"/>
        </w:rPr>
        <w:t>Never formally closed as declined, deferred, or quoted as a change request</w:t>
      </w:r>
    </w:p>
    <w:p>
      <w:pPr>
        <w:pStyle w:val="4"/>
        <w:spacing w:before="260" w:after="120" w:line="288" w:lineRule="auto"/>
        <w:ind w:left="0"/>
        <w:jc w:val="left"/>
        <w:outlineLvl w:val="3"/>
      </w:pPr>
      <w:bookmarkStart w:name="heading_120" w:id="120"/>
      <w:r>
        <w:rPr>
          <w:rFonts w:eastAsia="等线" w:ascii="Arial" w:cs="Arial" w:hAnsi="Arial"/>
          <w:b w:val="true"/>
          <w:sz w:val="28"/>
        </w:rPr>
        <w:t>Required decision / input</w:t>
      </w:r>
      <w:bookmarkEnd w:id="120"/>
    </w:p>
    <w:p>
      <w:pPr>
        <w:numPr>
          <w:numId w:val="113"/>
        </w:numPr>
        <w:spacing w:before="120" w:after="120" w:line="288" w:lineRule="auto"/>
        <w:ind w:left="0"/>
        <w:jc w:val="left"/>
      </w:pPr>
      <w:r>
        <w:rPr>
          <w:rFonts w:eastAsia="等线" w:ascii="Arial" w:cs="Arial" w:hAnsi="Arial"/>
          <w:sz w:val="22"/>
        </w:rPr>
        <w:t>Decide and communicate: declined, deferred to a named future phase, or quoted as a change request</w:t>
      </w:r>
    </w:p>
    <w:p>
      <w:pPr>
        <w:pStyle w:val="4"/>
        <w:spacing w:before="260" w:after="120" w:line="288" w:lineRule="auto"/>
        <w:ind w:left="0"/>
        <w:jc w:val="left"/>
        <w:outlineLvl w:val="3"/>
      </w:pPr>
      <w:bookmarkStart w:name="heading_121" w:id="121"/>
      <w:r>
        <w:rPr>
          <w:rFonts w:eastAsia="等线" w:ascii="Arial" w:cs="Arial" w:hAnsi="Arial"/>
          <w:b w:val="true"/>
          <w:sz w:val="28"/>
        </w:rPr>
        <w:t>Blocking: NO for Phase 1 core — YES for expectation management. If GST believes this is still pending an answer, silence reads as ignored, not declined.</w:t>
      </w:r>
      <w:bookmarkEnd w:id="121"/>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2" w:id="122"/>
      <w:r>
        <w:rPr>
          <w:rFonts w:eastAsia="等线" w:ascii="Arial" w:cs="Arial" w:hAnsi="Arial"/>
          <w:b w:val="true"/>
          <w:sz w:val="30"/>
        </w:rPr>
        <w:t>NSD-06 (new) — Stock source of truth</w:t>
      </w:r>
      <w:bookmarkEnd w:id="122"/>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SCOPING / TECHNICAL DETAIL — new</w:t>
        <w:br/>
      </w:r>
      <w:r>
        <w:rPr>
          <w:rFonts w:eastAsia="等线" w:ascii="Arial" w:cs="Arial" w:hAnsi="Arial"/>
          <w:b w:val="true"/>
          <w:sz w:val="22"/>
        </w:rPr>
        <w:t>Source:</w:t>
      </w:r>
      <w:r>
        <w:rPr>
          <w:rFonts w:eastAsia="Consolas" w:ascii="Consolas" w:cs="Consolas" w:hAnsi="Consolas"/>
          <w:sz w:val="22"/>
          <w:shd w:fill="EFF0F1"/>
        </w:rPr>
        <w:t>[SOW | §6]</w:t>
      </w:r>
      <w:r>
        <w:rPr>
          <w:rFonts w:eastAsia="等线" w:ascii="Arial" w:cs="Arial" w:hAnsi="Arial"/>
          <w:sz w:val="22"/>
        </w:rPr>
        <w:t>; still shown unchecked in the 2026-07-07 Backward Plan, three weeks after core build (M1–M3) began</w:t>
      </w:r>
    </w:p>
    <w:p>
      <w:pPr>
        <w:pStyle w:val="4"/>
        <w:spacing w:before="260" w:after="120" w:line="288" w:lineRule="auto"/>
        <w:ind w:left="0"/>
        <w:jc w:val="left"/>
        <w:outlineLvl w:val="3"/>
      </w:pPr>
      <w:bookmarkStart w:name="heading_123" w:id="123"/>
      <w:r>
        <w:rPr>
          <w:rFonts w:eastAsia="等线" w:ascii="Arial" w:cs="Arial" w:hAnsi="Arial"/>
          <w:b w:val="true"/>
          <w:sz w:val="28"/>
        </w:rPr>
        <w:t>Issue</w:t>
      </w:r>
      <w:bookmarkEnd w:id="123"/>
    </w:p>
    <w:p>
      <w:pPr>
        <w:numPr>
          <w:numId w:val="114"/>
        </w:numPr>
        <w:spacing w:before="120" w:after="120" w:line="288" w:lineRule="auto"/>
        <w:ind w:left="0"/>
        <w:jc w:val="left"/>
      </w:pPr>
      <w:r>
        <w:rPr>
          <w:rFonts w:eastAsia="等线" w:ascii="Arial" w:cs="Arial" w:hAnsi="Arial"/>
          <w:sz w:val="22"/>
        </w:rPr>
        <w:t>Which inventory source is authoritative for Phase 1 business-rule checks — SAP live, daily extract, or hybrid</w:t>
      </w:r>
    </w:p>
    <w:p>
      <w:pPr>
        <w:numPr>
          <w:numId w:val="115"/>
        </w:numPr>
        <w:spacing w:before="120" w:after="120" w:line="288" w:lineRule="auto"/>
        <w:ind w:left="0"/>
        <w:jc w:val="left"/>
      </w:pPr>
      <w:r>
        <w:rPr>
          <w:rFonts w:eastAsia="等线" w:ascii="Arial" w:cs="Arial" w:hAnsi="Arial"/>
          <w:sz w:val="22"/>
        </w:rPr>
        <w:t xml:space="preserve">Distinct from NSD-04, which is about sync </w:t>
      </w:r>
      <w:r>
        <w:rPr>
          <w:rFonts w:eastAsia="等线" w:ascii="Arial" w:cs="Arial" w:hAnsi="Arial"/>
          <w:i w:val="true"/>
          <w:sz w:val="22"/>
        </w:rPr>
        <w:t>cadence</w:t>
      </w:r>
      <w:r>
        <w:rPr>
          <w:rFonts w:eastAsia="等线" w:ascii="Arial" w:cs="Arial" w:hAnsi="Arial"/>
          <w:sz w:val="22"/>
        </w:rPr>
        <w:t xml:space="preserve"> after a transformation event, not which source is authoritative day-to-day</w:t>
      </w:r>
    </w:p>
    <w:p>
      <w:pPr>
        <w:pStyle w:val="4"/>
        <w:spacing w:before="260" w:after="120" w:line="288" w:lineRule="auto"/>
        <w:ind w:left="0"/>
        <w:jc w:val="left"/>
        <w:outlineLvl w:val="3"/>
      </w:pPr>
      <w:bookmarkStart w:name="heading_124" w:id="124"/>
      <w:r>
        <w:rPr>
          <w:rFonts w:eastAsia="等线" w:ascii="Arial" w:cs="Arial" w:hAnsi="Arial"/>
          <w:b w:val="true"/>
          <w:sz w:val="28"/>
        </w:rPr>
        <w:t>Required decision / input</w:t>
      </w:r>
      <w:bookmarkEnd w:id="124"/>
    </w:p>
    <w:p>
      <w:pPr>
        <w:numPr>
          <w:numId w:val="116"/>
        </w:numPr>
        <w:spacing w:before="120" w:after="120" w:line="288" w:lineRule="auto"/>
        <w:ind w:left="0"/>
        <w:jc w:val="left"/>
      </w:pPr>
      <w:r>
        <w:rPr>
          <w:rFonts w:eastAsia="等线" w:ascii="Arial" w:cs="Arial" w:hAnsi="Arial"/>
          <w:sz w:val="22"/>
        </w:rPr>
        <w:t>GST to confirm SAP-live vs daily-extract vs hybrid</w:t>
      </w:r>
    </w:p>
    <w:p>
      <w:pPr>
        <w:pStyle w:val="4"/>
        <w:spacing w:before="260" w:after="120" w:line="288" w:lineRule="auto"/>
        <w:ind w:left="0"/>
        <w:jc w:val="left"/>
        <w:outlineLvl w:val="3"/>
      </w:pPr>
      <w:bookmarkStart w:name="heading_125" w:id="125"/>
      <w:r>
        <w:rPr>
          <w:rFonts w:eastAsia="等线" w:ascii="Arial" w:cs="Arial" w:hAnsi="Arial"/>
          <w:b w:val="true"/>
          <w:sz w:val="28"/>
        </w:rPr>
        <w:t>Blocking: YES — overdue against the SOW's own pre-build gate</w:t>
      </w:r>
      <w:bookmarkEnd w:id="125"/>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6" w:id="126"/>
      <w:r>
        <w:rPr>
          <w:rFonts w:eastAsia="等线" w:ascii="Arial" w:cs="Arial" w:hAnsi="Arial"/>
          <w:b w:val="true"/>
          <w:sz w:val="30"/>
        </w:rPr>
        <w:t>NSD-07 (new) — Actual picked-qty capture, low-stock exception</w:t>
      </w:r>
      <w:bookmarkEnd w:id="126"/>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SCOPING / TECHNICAL DETAIL — new</w:t>
        <w:br/>
      </w:r>
      <w:r>
        <w:rPr>
          <w:rFonts w:eastAsia="等线" w:ascii="Arial" w:cs="Arial" w:hAnsi="Arial"/>
          <w:b w:val="true"/>
          <w:sz w:val="22"/>
        </w:rPr>
        <w:t>Source:</w:t>
      </w:r>
      <w:r>
        <w:rPr>
          <w:rFonts w:eastAsia="Consolas" w:ascii="Consolas" w:cs="Consolas" w:hAnsi="Consolas"/>
          <w:sz w:val="22"/>
          <w:shd w:fill="EFF0F1"/>
        </w:rPr>
        <w:t>[CSV | Core MAIA Extension #9]</w:t>
      </w:r>
      <w:r>
        <w:rPr>
          <w:rFonts w:eastAsia="等线" w:ascii="Arial" w:cs="Arial" w:hAnsi="Arial"/>
          <w:sz w:val="22"/>
        </w:rPr>
        <w:t xml:space="preserve"> — "if low stock there is an exception case here which is not currently supported by the UI"</w:t>
      </w:r>
    </w:p>
    <w:p>
      <w:pPr>
        <w:pStyle w:val="4"/>
        <w:spacing w:before="260" w:after="120" w:line="288" w:lineRule="auto"/>
        <w:ind w:left="0"/>
        <w:jc w:val="left"/>
        <w:outlineLvl w:val="3"/>
      </w:pPr>
      <w:bookmarkStart w:name="heading_127" w:id="127"/>
      <w:r>
        <w:rPr>
          <w:rFonts w:eastAsia="等线" w:ascii="Arial" w:cs="Arial" w:hAnsi="Arial"/>
          <w:b w:val="true"/>
          <w:sz w:val="28"/>
        </w:rPr>
        <w:t>Issue</w:t>
      </w:r>
      <w:bookmarkEnd w:id="127"/>
    </w:p>
    <w:p>
      <w:pPr>
        <w:numPr>
          <w:numId w:val="117"/>
        </w:numPr>
        <w:spacing w:before="120" w:after="120" w:line="288" w:lineRule="auto"/>
        <w:ind w:left="0"/>
        <w:jc w:val="left"/>
      </w:pPr>
      <w:r>
        <w:rPr>
          <w:rFonts w:eastAsia="等线" w:ascii="Arial" w:cs="Arial" w:hAnsi="Arial"/>
          <w:sz w:val="22"/>
        </w:rPr>
        <w:t>No UI/logic defined for what happens when actual picked qty is less than ordered qty (partial fulfilment case)</w:t>
      </w:r>
    </w:p>
    <w:p>
      <w:pPr>
        <w:pStyle w:val="4"/>
        <w:spacing w:before="260" w:after="120" w:line="288" w:lineRule="auto"/>
        <w:ind w:left="0"/>
        <w:jc w:val="left"/>
        <w:outlineLvl w:val="3"/>
      </w:pPr>
      <w:bookmarkStart w:name="heading_128" w:id="128"/>
      <w:r>
        <w:rPr>
          <w:rFonts w:eastAsia="等线" w:ascii="Arial" w:cs="Arial" w:hAnsi="Arial"/>
          <w:b w:val="true"/>
          <w:sz w:val="28"/>
        </w:rPr>
        <w:t>Required decision / input</w:t>
      </w:r>
      <w:bookmarkEnd w:id="128"/>
    </w:p>
    <w:p>
      <w:pPr>
        <w:numPr>
          <w:numId w:val="118"/>
        </w:numPr>
        <w:spacing w:before="120" w:after="120" w:line="288" w:lineRule="auto"/>
        <w:ind w:left="0"/>
        <w:jc w:val="left"/>
      </w:pPr>
      <w:r>
        <w:rPr>
          <w:rFonts w:eastAsia="等线" w:ascii="Arial" w:cs="Arial" w:hAnsi="Arial"/>
          <w:sz w:val="22"/>
        </w:rPr>
        <w:t>GST to confirm desired behaviour: partial DN, hold, or exception flag</w:t>
      </w:r>
    </w:p>
    <w:p>
      <w:pPr>
        <w:pStyle w:val="4"/>
        <w:spacing w:before="260" w:after="120" w:line="288" w:lineRule="auto"/>
        <w:ind w:left="0"/>
        <w:jc w:val="left"/>
        <w:outlineLvl w:val="3"/>
      </w:pPr>
      <w:bookmarkStart w:name="heading_129" w:id="129"/>
      <w:r>
        <w:rPr>
          <w:rFonts w:eastAsia="等线" w:ascii="Arial" w:cs="Arial" w:hAnsi="Arial"/>
          <w:b w:val="true"/>
          <w:sz w:val="28"/>
        </w:rPr>
        <w:t>Blocking: NO for MVP — YES before UAT sign-off on SL-13</w:t>
      </w:r>
      <w:bookmarkEnd w:id="129"/>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30" w:id="130"/>
      <w:r>
        <w:rPr>
          <w:rFonts w:eastAsia="等线" w:ascii="Arial" w:cs="Arial" w:hAnsi="Arial"/>
          <w:b w:val="true"/>
          <w:sz w:val="30"/>
        </w:rPr>
        <w:t>NSD-08 (new) — DN creation from a pick list spanning multiple SOs</w:t>
      </w:r>
      <w:bookmarkEnd w:id="130"/>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SCOPING / TECHNICAL DETAIL — new</w:t>
        <w:br/>
      </w:r>
      <w:r>
        <w:rPr>
          <w:rFonts w:eastAsia="等线" w:ascii="Arial" w:cs="Arial" w:hAnsi="Arial"/>
          <w:b w:val="true"/>
          <w:sz w:val="22"/>
        </w:rPr>
        <w:t>Source:</w:t>
      </w:r>
      <w:r>
        <w:rPr>
          <w:rFonts w:eastAsia="Consolas" w:ascii="Consolas" w:cs="Consolas" w:hAnsi="Consolas"/>
          <w:sz w:val="22"/>
          <w:shd w:fill="EFF0F1"/>
        </w:rPr>
        <w:t>[CSV | Core MAIA Extension #8]</w:t>
      </w:r>
      <w:r>
        <w:rPr>
          <w:rFonts w:eastAsia="等线" w:ascii="Arial" w:cs="Arial" w:hAnsi="Arial"/>
          <w:sz w:val="22"/>
        </w:rPr>
        <w:t xml:space="preserve"> — "if Pick List spans across Orders, they will need to pick which other to Create DN for"</w:t>
      </w:r>
    </w:p>
    <w:p>
      <w:pPr>
        <w:pStyle w:val="4"/>
        <w:spacing w:before="260" w:after="120" w:line="288" w:lineRule="auto"/>
        <w:ind w:left="0"/>
        <w:jc w:val="left"/>
        <w:outlineLvl w:val="3"/>
      </w:pPr>
      <w:bookmarkStart w:name="heading_131" w:id="131"/>
      <w:r>
        <w:rPr>
          <w:rFonts w:eastAsia="等线" w:ascii="Arial" w:cs="Arial" w:hAnsi="Arial"/>
          <w:b w:val="true"/>
          <w:sz w:val="28"/>
        </w:rPr>
        <w:t>Issue</w:t>
      </w:r>
      <w:bookmarkEnd w:id="131"/>
    </w:p>
    <w:p>
      <w:pPr>
        <w:numPr>
          <w:numId w:val="119"/>
        </w:numPr>
        <w:spacing w:before="120" w:after="120" w:line="288" w:lineRule="auto"/>
        <w:ind w:left="0"/>
        <w:jc w:val="left"/>
      </w:pPr>
      <w:r>
        <w:rPr>
          <w:rFonts w:eastAsia="等线" w:ascii="Arial" w:cs="Arial" w:hAnsi="Arial"/>
          <w:sz w:val="22"/>
        </w:rPr>
        <w:t>User must currently pick which SO to create the DN for; no auto-resolution logic exists</w:t>
      </w:r>
    </w:p>
    <w:p>
      <w:pPr>
        <w:pStyle w:val="4"/>
        <w:spacing w:before="260" w:after="120" w:line="288" w:lineRule="auto"/>
        <w:ind w:left="0"/>
        <w:jc w:val="left"/>
        <w:outlineLvl w:val="3"/>
      </w:pPr>
      <w:bookmarkStart w:name="heading_132" w:id="132"/>
      <w:r>
        <w:rPr>
          <w:rFonts w:eastAsia="等线" w:ascii="Arial" w:cs="Arial" w:hAnsi="Arial"/>
          <w:b w:val="true"/>
          <w:sz w:val="28"/>
        </w:rPr>
        <w:t>Required decision / input</w:t>
      </w:r>
      <w:bookmarkEnd w:id="132"/>
    </w:p>
    <w:p>
      <w:pPr>
        <w:numPr>
          <w:numId w:val="120"/>
        </w:numPr>
        <w:spacing w:before="120" w:after="120" w:line="288" w:lineRule="auto"/>
        <w:ind w:left="0"/>
        <w:jc w:val="left"/>
      </w:pPr>
      <w:r>
        <w:rPr>
          <w:rFonts w:eastAsia="等线" w:ascii="Arial" w:cs="Arial" w:hAnsi="Arial"/>
          <w:sz w:val="22"/>
        </w:rPr>
        <w:t>Confirm whether one DN per SO is forced, or a smarter default is wanted</w:t>
      </w:r>
    </w:p>
    <w:p>
      <w:pPr>
        <w:pStyle w:val="4"/>
        <w:spacing w:before="260" w:after="120" w:line="288" w:lineRule="auto"/>
        <w:ind w:left="0"/>
        <w:jc w:val="left"/>
        <w:outlineLvl w:val="3"/>
      </w:pPr>
      <w:bookmarkStart w:name="heading_133" w:id="133"/>
      <w:r>
        <w:rPr>
          <w:rFonts w:eastAsia="等线" w:ascii="Arial" w:cs="Arial" w:hAnsi="Arial"/>
          <w:b w:val="true"/>
          <w:sz w:val="28"/>
        </w:rPr>
        <w:t>Blocking: NO for MVP — YES before UAT sign-off on SL-13</w:t>
      </w:r>
      <w:bookmarkEnd w:id="133"/>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34" w:id="134"/>
      <w:r>
        <w:rPr>
          <w:rFonts w:eastAsia="等线" w:ascii="Arial" w:cs="Arial" w:hAnsi="Arial"/>
          <w:b w:val="true"/>
          <w:sz w:val="30"/>
        </w:rPr>
        <w:t>NSD-09 (new) — Credit note / return SAP writeback mechanics</w:t>
      </w:r>
      <w:bookmarkEnd w:id="134"/>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SCOPING / TECHNICAL DETAIL — new</w:t>
        <w:br/>
      </w:r>
      <w:r>
        <w:rPr>
          <w:rFonts w:eastAsia="等线" w:ascii="Arial" w:cs="Arial" w:hAnsi="Arial"/>
          <w:b w:val="true"/>
          <w:sz w:val="22"/>
        </w:rPr>
        <w:t>Source:</w:t>
      </w:r>
      <w:r>
        <w:rPr>
          <w:rFonts w:eastAsia="Consolas" w:ascii="Consolas" w:cs="Consolas" w:hAnsi="Consolas"/>
          <w:sz w:val="22"/>
          <w:shd w:fill="EFF0F1"/>
        </w:rPr>
        <w:t>[SAPV | Key Point F]</w:t>
      </w:r>
      <w:r>
        <w:rPr>
          <w:rFonts w:eastAsia="等线" w:ascii="Arial" w:cs="Arial" w:hAnsi="Arial"/>
          <w:sz w:val="22"/>
        </w:rPr>
        <w:t xml:space="preserve"> — return notes and refunds must link accurately to invoices; exact field-level mechanics not mapped</w:t>
      </w:r>
    </w:p>
    <w:p>
      <w:pPr>
        <w:pStyle w:val="4"/>
        <w:spacing w:before="260" w:after="120" w:line="288" w:lineRule="auto"/>
        <w:ind w:left="0"/>
        <w:jc w:val="left"/>
        <w:outlineLvl w:val="3"/>
      </w:pPr>
      <w:bookmarkStart w:name="heading_135" w:id="135"/>
      <w:r>
        <w:rPr>
          <w:rFonts w:eastAsia="等线" w:ascii="Arial" w:cs="Arial" w:hAnsi="Arial"/>
          <w:b w:val="true"/>
          <w:sz w:val="28"/>
        </w:rPr>
        <w:t>Issue</w:t>
      </w:r>
      <w:bookmarkEnd w:id="135"/>
    </w:p>
    <w:p>
      <w:pPr>
        <w:numPr>
          <w:numId w:val="121"/>
        </w:numPr>
        <w:spacing w:before="120" w:after="120" w:line="288" w:lineRule="auto"/>
        <w:ind w:left="0"/>
        <w:jc w:val="left"/>
      </w:pPr>
      <w:r>
        <w:rPr>
          <w:rFonts w:eastAsia="等线" w:ascii="Arial" w:cs="Arial" w:hAnsi="Arial"/>
          <w:sz w:val="22"/>
        </w:rPr>
        <w:t>Exact mechanics for linking return note → credit note → refund → SAP writeback are not fully mapped</w:t>
      </w:r>
    </w:p>
    <w:p>
      <w:pPr>
        <w:pStyle w:val="4"/>
        <w:spacing w:before="260" w:after="120" w:line="288" w:lineRule="auto"/>
        <w:ind w:left="0"/>
        <w:jc w:val="left"/>
        <w:outlineLvl w:val="3"/>
      </w:pPr>
      <w:bookmarkStart w:name="heading_136" w:id="136"/>
      <w:r>
        <w:rPr>
          <w:rFonts w:eastAsia="等线" w:ascii="Arial" w:cs="Arial" w:hAnsi="Arial"/>
          <w:b w:val="true"/>
          <w:sz w:val="28"/>
        </w:rPr>
        <w:t>Required decision / input</w:t>
      </w:r>
      <w:bookmarkEnd w:id="136"/>
    </w:p>
    <w:p>
      <w:pPr>
        <w:numPr>
          <w:numId w:val="122"/>
        </w:numPr>
        <w:spacing w:before="120" w:after="120" w:line="288" w:lineRule="auto"/>
        <w:ind w:left="0"/>
        <w:jc w:val="left"/>
      </w:pPr>
      <w:r>
        <w:rPr>
          <w:rFonts w:eastAsia="等线" w:ascii="Arial" w:cs="Arial" w:hAnsi="Arial"/>
          <w:sz w:val="22"/>
        </w:rPr>
        <w:t>Map field-level behaviour with the SAP vendor (same class of gap as NSD-02)</w:t>
      </w:r>
    </w:p>
    <w:p>
      <w:pPr>
        <w:pStyle w:val="4"/>
        <w:spacing w:before="260" w:after="120" w:line="288" w:lineRule="auto"/>
        <w:ind w:left="0"/>
        <w:jc w:val="left"/>
        <w:outlineLvl w:val="3"/>
      </w:pPr>
      <w:bookmarkStart w:name="heading_137" w:id="137"/>
      <w:r>
        <w:rPr>
          <w:rFonts w:eastAsia="等线" w:ascii="Arial" w:cs="Arial" w:hAnsi="Arial"/>
          <w:b w:val="true"/>
          <w:sz w:val="28"/>
        </w:rPr>
        <w:t>Blocking: NO for core Phase 1 SO/Invoice flow — YES before the credit-note module (SL-17) can pass UAT</w:t>
      </w:r>
      <w:bookmarkEnd w:id="137"/>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38" w:id="138"/>
      <w:r>
        <w:rPr>
          <w:rFonts w:eastAsia="等线" w:ascii="Arial" w:cs="Arial" w:hAnsi="Arial"/>
          <w:b w:val="true"/>
          <w:sz w:val="30"/>
        </w:rPr>
        <w:t>NSD-10 (new) — Sales-vs-budget dashboard metric source</w:t>
      </w:r>
      <w:bookmarkEnd w:id="138"/>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SCOPING / TECHNICAL DETAIL — new</w:t>
        <w:br/>
      </w:r>
      <w:r>
        <w:rPr>
          <w:rFonts w:eastAsia="等线" w:ascii="Arial" w:cs="Arial" w:hAnsi="Arial"/>
          <w:b w:val="true"/>
          <w:sz w:val="22"/>
        </w:rPr>
        <w:t>Source:</w:t>
      </w:r>
      <w:r>
        <w:rPr>
          <w:rFonts w:eastAsia="Consolas" w:ascii="Consolas" w:cs="Consolas" w:hAnsi="Consolas"/>
          <w:sz w:val="22"/>
          <w:shd w:fill="EFF0F1"/>
        </w:rPr>
        <w:t>[Ivan RG Notes | §20.1]</w:t>
      </w:r>
      <w:r>
        <w:rPr>
          <w:rFonts w:eastAsia="等线" w:ascii="Arial" w:cs="Arial" w:hAnsi="Arial"/>
          <w:sz w:val="22"/>
        </w:rPr>
        <w:t xml:space="preserve"> — management asked for "up-to-date sales versus budget"</w:t>
      </w:r>
    </w:p>
    <w:p>
      <w:pPr>
        <w:pStyle w:val="4"/>
        <w:spacing w:before="260" w:after="120" w:line="288" w:lineRule="auto"/>
        <w:ind w:left="0"/>
        <w:jc w:val="left"/>
        <w:outlineLvl w:val="3"/>
      </w:pPr>
      <w:bookmarkStart w:name="heading_139" w:id="139"/>
      <w:r>
        <w:rPr>
          <w:rFonts w:eastAsia="等线" w:ascii="Arial" w:cs="Arial" w:hAnsi="Arial"/>
          <w:b w:val="true"/>
          <w:sz w:val="28"/>
        </w:rPr>
        <w:t>Issue</w:t>
      </w:r>
      <w:bookmarkEnd w:id="139"/>
    </w:p>
    <w:p>
      <w:pPr>
        <w:numPr>
          <w:numId w:val="123"/>
        </w:numPr>
        <w:spacing w:before="120" w:after="120" w:line="288" w:lineRule="auto"/>
        <w:ind w:left="0"/>
        <w:jc w:val="left"/>
      </w:pPr>
      <w:r>
        <w:rPr>
          <w:rFonts w:eastAsia="等线" w:ascii="Arial" w:cs="Arial" w:hAnsi="Arial"/>
          <w:sz w:val="22"/>
        </w:rPr>
        <w:t>Budget target source (SAP? manual entry? separate planning sheet?) and refresh cadence are undefined</w:t>
      </w:r>
    </w:p>
    <w:p>
      <w:pPr>
        <w:pStyle w:val="4"/>
        <w:spacing w:before="260" w:after="120" w:line="288" w:lineRule="auto"/>
        <w:ind w:left="0"/>
        <w:jc w:val="left"/>
        <w:outlineLvl w:val="3"/>
      </w:pPr>
      <w:bookmarkStart w:name="heading_140" w:id="140"/>
      <w:r>
        <w:rPr>
          <w:rFonts w:eastAsia="等线" w:ascii="Arial" w:cs="Arial" w:hAnsi="Arial"/>
          <w:b w:val="true"/>
          <w:sz w:val="28"/>
        </w:rPr>
        <w:t>Required decision / input</w:t>
      </w:r>
      <w:bookmarkEnd w:id="140"/>
    </w:p>
    <w:p>
      <w:pPr>
        <w:numPr>
          <w:numId w:val="124"/>
        </w:numPr>
        <w:spacing w:before="120" w:after="120" w:line="288" w:lineRule="auto"/>
        <w:ind w:left="0"/>
        <w:jc w:val="left"/>
      </w:pPr>
      <w:r>
        <w:rPr>
          <w:rFonts w:eastAsia="等线" w:ascii="Arial" w:cs="Arial" w:hAnsi="Arial"/>
          <w:sz w:val="22"/>
        </w:rPr>
        <w:t>Confirm where budget figures come from and how often they refresh</w:t>
      </w:r>
    </w:p>
    <w:p>
      <w:pPr>
        <w:pStyle w:val="4"/>
        <w:spacing w:before="260" w:after="120" w:line="288" w:lineRule="auto"/>
        <w:ind w:left="0"/>
        <w:jc w:val="left"/>
        <w:outlineLvl w:val="3"/>
      </w:pPr>
      <w:bookmarkStart w:name="heading_141" w:id="141"/>
      <w:r>
        <w:rPr>
          <w:rFonts w:eastAsia="等线" w:ascii="Arial" w:cs="Arial" w:hAnsi="Arial"/>
          <w:b w:val="true"/>
          <w:sz w:val="28"/>
        </w:rPr>
        <w:t>Blocking: NO for MVP — YES before management dashboard (SL-18) can pass UAT</w:t>
      </w:r>
      <w:bookmarkEnd w:id="141"/>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42" w:id="142"/>
      <w:r>
        <w:rPr>
          <w:rFonts w:eastAsia="等线" w:ascii="Arial" w:cs="Arial" w:hAnsi="Arial"/>
          <w:b w:val="true"/>
          <w:sz w:val="30"/>
        </w:rPr>
        <w:t>NSD-11 (new) — Substitution engine: shared with SL-02 or separate logic</w:t>
      </w:r>
      <w:bookmarkEnd w:id="142"/>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SCOPING / TECHNICAL DETAIL — new</w:t>
        <w:br/>
      </w:r>
      <w:r>
        <w:rPr>
          <w:rFonts w:eastAsia="等线" w:ascii="Arial" w:cs="Arial" w:hAnsi="Arial"/>
          <w:b w:val="true"/>
          <w:sz w:val="22"/>
        </w:rPr>
        <w:t>Source:</w:t>
      </w:r>
      <w:r>
        <w:rPr>
          <w:rFonts w:eastAsia="Consolas" w:ascii="Consolas" w:cs="Consolas" w:hAnsi="Consolas"/>
          <w:sz w:val="22"/>
          <w:shd w:fill="EFF0F1"/>
        </w:rPr>
        <w:t>[Ivan RG Notes | §12]</w:t>
      </w:r>
    </w:p>
    <w:p>
      <w:pPr>
        <w:pStyle w:val="4"/>
        <w:spacing w:before="260" w:after="120" w:line="288" w:lineRule="auto"/>
        <w:ind w:left="0"/>
        <w:jc w:val="left"/>
        <w:outlineLvl w:val="3"/>
      </w:pPr>
      <w:bookmarkStart w:name="heading_143" w:id="143"/>
      <w:r>
        <w:rPr>
          <w:rFonts w:eastAsia="等线" w:ascii="Arial" w:cs="Arial" w:hAnsi="Arial"/>
          <w:b w:val="true"/>
          <w:sz w:val="28"/>
        </w:rPr>
        <w:t>Issue</w:t>
      </w:r>
      <w:bookmarkEnd w:id="143"/>
    </w:p>
    <w:p>
      <w:pPr>
        <w:numPr>
          <w:numId w:val="125"/>
        </w:numPr>
        <w:spacing w:before="120" w:after="120" w:line="288" w:lineRule="auto"/>
        <w:ind w:left="0"/>
        <w:jc w:val="left"/>
      </w:pPr>
      <w:r>
        <w:rPr>
          <w:rFonts w:eastAsia="等线" w:ascii="Arial" w:cs="Arial" w:hAnsi="Arial"/>
          <w:sz w:val="22"/>
        </w:rPr>
        <w:t>Unclear whether out-of-stock substitution (SL-19) uses the same underlying matching engine as SL-02's wording-match suggestions, or needs separate stock-aware trigger logic</w:t>
      </w:r>
    </w:p>
    <w:p>
      <w:pPr>
        <w:pStyle w:val="4"/>
        <w:spacing w:before="260" w:after="120" w:line="288" w:lineRule="auto"/>
        <w:ind w:left="0"/>
        <w:jc w:val="left"/>
        <w:outlineLvl w:val="3"/>
      </w:pPr>
      <w:bookmarkStart w:name="heading_144" w:id="144"/>
      <w:r>
        <w:rPr>
          <w:rFonts w:eastAsia="等线" w:ascii="Arial" w:cs="Arial" w:hAnsi="Arial"/>
          <w:b w:val="true"/>
          <w:sz w:val="28"/>
        </w:rPr>
        <w:t>Required decision / input</w:t>
      </w:r>
      <w:bookmarkEnd w:id="144"/>
    </w:p>
    <w:p>
      <w:pPr>
        <w:numPr>
          <w:numId w:val="126"/>
        </w:numPr>
        <w:spacing w:before="120" w:after="120" w:line="288" w:lineRule="auto"/>
        <w:ind w:left="0"/>
        <w:jc w:val="left"/>
      </w:pPr>
      <w:r>
        <w:rPr>
          <w:rFonts w:eastAsia="等线" w:ascii="Arial" w:cs="Arial" w:hAnsi="Arial"/>
          <w:sz w:val="22"/>
        </w:rPr>
        <w:t>Confirm with dev whether one shared engine suffices or a second trigger path is needed</w:t>
      </w:r>
    </w:p>
    <w:p>
      <w:pPr>
        <w:pStyle w:val="4"/>
        <w:spacing w:before="260" w:after="120" w:line="288" w:lineRule="auto"/>
        <w:ind w:left="0"/>
        <w:jc w:val="left"/>
        <w:outlineLvl w:val="3"/>
      </w:pPr>
      <w:bookmarkStart w:name="heading_145" w:id="145"/>
      <w:r>
        <w:rPr>
          <w:rFonts w:eastAsia="等线" w:ascii="Arial" w:cs="Arial" w:hAnsi="Arial"/>
          <w:b w:val="true"/>
          <w:sz w:val="28"/>
        </w:rPr>
        <w:t>Blocking: NO</w:t>
      </w:r>
      <w:bookmarkEnd w:id="145"/>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46" w:id="146"/>
      <w:r>
        <w:rPr>
          <w:rFonts w:eastAsia="等线" w:ascii="Arial" w:cs="Arial" w:hAnsi="Arial"/>
          <w:b w:val="true"/>
          <w:sz w:val="30"/>
        </w:rPr>
        <w:t>NSD-12 (new) — Item master enrichment scope (photos, public links, quotation images)</w:t>
      </w:r>
      <w:bookmarkEnd w:id="146"/>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SCOPING / TECHNICAL DETAIL — new</w:t>
        <w:br/>
      </w:r>
      <w:r>
        <w:rPr>
          <w:rFonts w:eastAsia="等线" w:ascii="Arial" w:cs="Arial" w:hAnsi="Arial"/>
          <w:b w:val="true"/>
          <w:sz w:val="22"/>
        </w:rPr>
        <w:t>Source:</w:t>
      </w:r>
      <w:r>
        <w:rPr>
          <w:rFonts w:eastAsia="Consolas" w:ascii="Consolas" w:cs="Consolas" w:hAnsi="Consolas"/>
          <w:sz w:val="22"/>
          <w:shd w:fill="EFF0F1"/>
        </w:rPr>
        <w:t>[Ivan RG Notes | §21]</w:t>
      </w:r>
      <w:r>
        <w:rPr>
          <w:rFonts w:eastAsia="等线" w:ascii="Arial" w:cs="Arial" w:hAnsi="Arial"/>
          <w:sz w:val="22"/>
        </w:rPr>
        <w:t xml:space="preserve"> — GST asked whether MAIA can support richer item database features; per Ivan's own outcome note, "exact GST usage requires sample quotation / PDF documents" — direction itself is not yet agreed, not just implementation detail</w:t>
      </w:r>
    </w:p>
    <w:p>
      <w:pPr>
        <w:pStyle w:val="4"/>
        <w:spacing w:before="260" w:after="120" w:line="288" w:lineRule="auto"/>
        <w:ind w:left="0"/>
        <w:jc w:val="left"/>
        <w:outlineLvl w:val="3"/>
      </w:pPr>
      <w:bookmarkStart w:name="heading_147" w:id="147"/>
      <w:r>
        <w:rPr>
          <w:rFonts w:eastAsia="等线" w:ascii="Arial" w:cs="Arial" w:hAnsi="Arial"/>
          <w:b w:val="true"/>
          <w:sz w:val="28"/>
        </w:rPr>
        <w:t>Issue</w:t>
      </w:r>
      <w:bookmarkEnd w:id="147"/>
    </w:p>
    <w:p>
      <w:pPr>
        <w:numPr>
          <w:numId w:val="127"/>
        </w:numPr>
        <w:spacing w:before="120" w:after="120" w:line="288" w:lineRule="auto"/>
        <w:ind w:left="0"/>
        <w:jc w:val="left"/>
      </w:pPr>
      <w:r>
        <w:rPr>
          <w:rFonts w:eastAsia="等线" w:ascii="Arial" w:cs="Arial" w:hAnsi="Arial"/>
          <w:sz w:val="22"/>
        </w:rPr>
        <w:t>Requested or discussed: product photos, special attributes, customer-facing item links, public SKU information, item images in quotation PDFs</w:t>
      </w:r>
    </w:p>
    <w:p>
      <w:pPr>
        <w:numPr>
          <w:numId w:val="128"/>
        </w:numPr>
        <w:spacing w:before="120" w:after="120" w:line="288" w:lineRule="auto"/>
        <w:ind w:left="0"/>
        <w:jc w:val="left"/>
      </w:pPr>
      <w:r>
        <w:rPr>
          <w:rFonts w:eastAsia="等线" w:ascii="Arial" w:cs="Arial" w:hAnsi="Arial"/>
          <w:sz w:val="22"/>
        </w:rPr>
        <w:t>No confirmation yet on which of these GST actually wants built vs was exploratory conversation</w:t>
      </w:r>
    </w:p>
    <w:p>
      <w:pPr>
        <w:pStyle w:val="4"/>
        <w:spacing w:before="260" w:after="120" w:line="288" w:lineRule="auto"/>
        <w:ind w:left="0"/>
        <w:jc w:val="left"/>
        <w:outlineLvl w:val="3"/>
      </w:pPr>
      <w:bookmarkStart w:name="heading_148" w:id="148"/>
      <w:r>
        <w:rPr>
          <w:rFonts w:eastAsia="等线" w:ascii="Arial" w:cs="Arial" w:hAnsi="Arial"/>
          <w:b w:val="true"/>
          <w:sz w:val="28"/>
        </w:rPr>
        <w:t>Required decision / input</w:t>
      </w:r>
      <w:bookmarkEnd w:id="148"/>
    </w:p>
    <w:p>
      <w:pPr>
        <w:numPr>
          <w:numId w:val="129"/>
        </w:numPr>
        <w:spacing w:before="120" w:after="120" w:line="288" w:lineRule="auto"/>
        <w:ind w:left="0"/>
        <w:jc w:val="left"/>
      </w:pPr>
      <w:r>
        <w:rPr>
          <w:rFonts w:eastAsia="等线" w:ascii="Arial" w:cs="Arial" w:hAnsi="Arial"/>
          <w:sz w:val="22"/>
        </w:rPr>
        <w:t>Sample quotation/PDF documents from GST to clarify actual usage before this is locked one way or the other</w:t>
      </w:r>
    </w:p>
    <w:p>
      <w:pPr>
        <w:pStyle w:val="4"/>
        <w:spacing w:before="260" w:after="120" w:line="288" w:lineRule="auto"/>
        <w:ind w:left="0"/>
        <w:jc w:val="left"/>
        <w:outlineLvl w:val="3"/>
      </w:pPr>
      <w:bookmarkStart w:name="heading_149" w:id="149"/>
      <w:r>
        <w:rPr>
          <w:rFonts w:eastAsia="等线" w:ascii="Arial" w:cs="Arial" w:hAnsi="Arial"/>
          <w:b w:val="true"/>
          <w:sz w:val="28"/>
        </w:rPr>
        <w:t>Blocking: NO — but do not treat as locked scope until GST confirms direction</w:t>
      </w:r>
      <w:bookmarkEnd w:id="149"/>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0" w:id="150"/>
      <w:r>
        <w:rPr>
          <w:rFonts w:eastAsia="等线" w:ascii="Arial" w:cs="Arial" w:hAnsi="Arial"/>
          <w:b w:val="true"/>
          <w:sz w:val="32"/>
        </w:rPr>
        <w:t>6. Resolved / Non-Blocking (carried from v1.2, unchanged)</w:t>
      </w:r>
      <w:bookmarkEnd w:id="150"/>
    </w:p>
    <w:p>
      <w:pPr>
        <w:pStyle w:val="3"/>
        <w:spacing w:before="300" w:after="120" w:line="288" w:lineRule="auto"/>
        <w:ind w:left="0"/>
        <w:jc w:val="left"/>
        <w:outlineLvl w:val="2"/>
      </w:pPr>
      <w:bookmarkStart w:name="heading_151" w:id="151"/>
      <w:r>
        <w:rPr>
          <w:rFonts w:eastAsia="等线" w:ascii="Arial" w:cs="Arial" w:hAnsi="Arial"/>
          <w:b w:val="true"/>
          <w:sz w:val="30"/>
        </w:rPr>
        <w:t>R-01 — Vendor custom UDF/UDH support</w:t>
      </w:r>
      <w:bookmarkEnd w:id="151"/>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RESOLVED AS OUT-OF-SCOPE BOUNDARY</w:t>
        <w:br/>
      </w:r>
      <w:r>
        <w:rPr>
          <w:rFonts w:eastAsia="等线" w:ascii="Arial" w:cs="Arial" w:hAnsi="Arial"/>
          <w:b w:val="true"/>
          <w:sz w:val="22"/>
        </w:rPr>
        <w:t>Source:</w:t>
      </w:r>
      <w:r>
        <w:rPr>
          <w:rFonts w:eastAsia="Consolas" w:ascii="Consolas" w:cs="Consolas" w:hAnsi="Consolas"/>
          <w:sz w:val="22"/>
          <w:shd w:fill="EFF0F1"/>
        </w:rPr>
        <w:t>[Mindhive internal decision | NSD-01 correction]</w:t>
      </w:r>
    </w:p>
    <w:p>
      <w:pPr>
        <w:pStyle w:val="4"/>
        <w:spacing w:before="260" w:after="120" w:line="288" w:lineRule="auto"/>
        <w:ind w:left="0"/>
        <w:jc w:val="left"/>
        <w:outlineLvl w:val="3"/>
      </w:pPr>
      <w:bookmarkStart w:name="heading_152" w:id="152"/>
      <w:r>
        <w:rPr>
          <w:rFonts w:eastAsia="等线" w:ascii="Arial" w:cs="Arial" w:hAnsi="Arial"/>
          <w:b w:val="true"/>
          <w:sz w:val="28"/>
        </w:rPr>
        <w:t>Decision</w:t>
      </w:r>
      <w:bookmarkEnd w:id="152"/>
    </w:p>
    <w:p>
      <w:pPr>
        <w:numPr>
          <w:numId w:val="130"/>
        </w:numPr>
        <w:spacing w:before="120" w:after="120" w:line="288" w:lineRule="auto"/>
        <w:ind w:left="0"/>
        <w:jc w:val="left"/>
      </w:pPr>
      <w:r>
        <w:rPr>
          <w:rFonts w:eastAsia="等线" w:ascii="Arial" w:cs="Arial" w:hAnsi="Arial"/>
          <w:sz w:val="22"/>
        </w:rPr>
        <w:t>MAIA will not support custom UDF/UDH development in vendor third-party software as part of base development</w:t>
      </w:r>
    </w:p>
    <w:p>
      <w:pPr>
        <w:pStyle w:val="4"/>
        <w:spacing w:before="260" w:after="120" w:line="288" w:lineRule="auto"/>
        <w:ind w:left="0"/>
        <w:jc w:val="left"/>
        <w:outlineLvl w:val="3"/>
      </w:pPr>
      <w:bookmarkStart w:name="heading_153" w:id="153"/>
      <w:r>
        <w:rPr>
          <w:rFonts w:eastAsia="等线" w:ascii="Arial" w:cs="Arial" w:hAnsi="Arial"/>
          <w:b w:val="true"/>
          <w:sz w:val="28"/>
        </w:rPr>
        <w:t>Treatment</w:t>
      </w:r>
      <w:bookmarkEnd w:id="153"/>
    </w:p>
    <w:p>
      <w:pPr>
        <w:numPr>
          <w:numId w:val="131"/>
        </w:numPr>
        <w:spacing w:before="120" w:after="120" w:line="288" w:lineRule="auto"/>
        <w:ind w:left="0"/>
        <w:jc w:val="left"/>
      </w:pPr>
      <w:r>
        <w:rPr>
          <w:rFonts w:eastAsia="等线" w:ascii="Arial" w:cs="Arial" w:hAnsi="Arial"/>
          <w:sz w:val="22"/>
        </w:rPr>
        <w:t>If a custom UDF/UDH limitation is identified as a blocker, Mindhive raises it and scopes it as a separate customisation</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54" w:id="154"/>
      <w:r>
        <w:rPr>
          <w:rFonts w:eastAsia="等线" w:ascii="Arial" w:cs="Arial" w:hAnsi="Arial"/>
          <w:b w:val="true"/>
          <w:sz w:val="30"/>
        </w:rPr>
        <w:t>R-02 — SAP endpoint coverage</w:t>
      </w:r>
      <w:bookmarkEnd w:id="154"/>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RESOLVED / NON-BLOCKING</w:t>
        <w:br/>
      </w:r>
      <w:r>
        <w:rPr>
          <w:rFonts w:eastAsia="等线" w:ascii="Arial" w:cs="Arial" w:hAnsi="Arial"/>
          <w:b w:val="true"/>
          <w:sz w:val="22"/>
        </w:rPr>
        <w:t>Source:</w:t>
      </w:r>
      <w:r>
        <w:rPr>
          <w:rFonts w:eastAsia="Consolas" w:ascii="Consolas" w:cs="Consolas" w:hAnsi="Consolas"/>
          <w:sz w:val="22"/>
          <w:shd w:fill="EFF0F1"/>
        </w:rPr>
        <w:t>[SAP-VENDOR | integration path]</w:t>
      </w:r>
    </w:p>
    <w:p>
      <w:pPr>
        <w:pStyle w:val="4"/>
        <w:spacing w:before="260" w:after="120" w:line="288" w:lineRule="auto"/>
        <w:ind w:left="0"/>
        <w:jc w:val="left"/>
        <w:outlineLvl w:val="3"/>
      </w:pPr>
      <w:bookmarkStart w:name="heading_155" w:id="155"/>
      <w:r>
        <w:rPr>
          <w:rFonts w:eastAsia="等线" w:ascii="Arial" w:cs="Arial" w:hAnsi="Arial"/>
          <w:b w:val="true"/>
          <w:sz w:val="28"/>
        </w:rPr>
        <w:t>Decision</w:t>
      </w:r>
      <w:bookmarkEnd w:id="155"/>
    </w:p>
    <w:p>
      <w:pPr>
        <w:numPr>
          <w:numId w:val="132"/>
        </w:numPr>
        <w:spacing w:before="120" w:after="120" w:line="288" w:lineRule="auto"/>
        <w:ind w:left="0"/>
        <w:jc w:val="left"/>
      </w:pPr>
      <w:r>
        <w:rPr>
          <w:rFonts w:eastAsia="等线" w:ascii="Arial" w:cs="Arial" w:hAnsi="Arial"/>
          <w:sz w:val="22"/>
        </w:rPr>
        <w:t>SAP endpoint coverage is not treated as a blocker in this document — the team already knows the integration path required</w:t>
      </w:r>
    </w:p>
    <w:p>
      <w:pPr>
        <w:pStyle w:val="4"/>
        <w:spacing w:before="260" w:after="120" w:line="288" w:lineRule="auto"/>
        <w:ind w:left="0"/>
        <w:jc w:val="left"/>
        <w:outlineLvl w:val="3"/>
      </w:pPr>
      <w:bookmarkStart w:name="heading_156" w:id="156"/>
      <w:r>
        <w:rPr>
          <w:rFonts w:eastAsia="等线" w:ascii="Arial" w:cs="Arial" w:hAnsi="Arial"/>
          <w:b w:val="true"/>
          <w:sz w:val="28"/>
        </w:rPr>
        <w:t>Treatment</w:t>
      </w:r>
      <w:bookmarkEnd w:id="156"/>
    </w:p>
    <w:p>
      <w:pPr>
        <w:numPr>
          <w:numId w:val="133"/>
        </w:numPr>
        <w:spacing w:before="120" w:after="120" w:line="288" w:lineRule="auto"/>
        <w:ind w:left="0"/>
        <w:jc w:val="left"/>
      </w:pPr>
      <w:r>
        <w:rPr>
          <w:rFonts w:eastAsia="等线" w:ascii="Arial" w:cs="Arial" w:hAnsi="Arial"/>
          <w:sz w:val="22"/>
        </w:rPr>
        <w:t>Build proceeds on the known SAP integration path; any unexpected endpoint limitation is escalated through delivery risk management, not treated as an unresolved scope question</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57" w:id="157"/>
      <w:r>
        <w:rPr>
          <w:rFonts w:eastAsia="等线" w:ascii="Arial" w:cs="Arial" w:hAnsi="Arial"/>
          <w:b w:val="true"/>
          <w:sz w:val="30"/>
        </w:rPr>
        <w:t>R-03 — Payment receipt / voucher mapping</w:t>
      </w:r>
      <w:bookmarkEnd w:id="157"/>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RESOLVED / NON-BLOCKING</w:t>
        <w:br/>
      </w:r>
      <w:r>
        <w:rPr>
          <w:rFonts w:eastAsia="等线" w:ascii="Arial" w:cs="Arial" w:hAnsi="Arial"/>
          <w:b w:val="true"/>
          <w:sz w:val="22"/>
        </w:rPr>
        <w:t>Source:</w:t>
      </w:r>
      <w:r>
        <w:rPr>
          <w:rFonts w:eastAsia="Consolas" w:ascii="Consolas" w:cs="Consolas" w:hAnsi="Consolas"/>
          <w:sz w:val="22"/>
          <w:shd w:fill="EFF0F1"/>
        </w:rPr>
        <w:t>[Mindhive internal decision | NSD-06 correction]</w:t>
      </w:r>
    </w:p>
    <w:p>
      <w:pPr>
        <w:pStyle w:val="4"/>
        <w:spacing w:before="260" w:after="120" w:line="288" w:lineRule="auto"/>
        <w:ind w:left="0"/>
        <w:jc w:val="left"/>
        <w:outlineLvl w:val="3"/>
      </w:pPr>
      <w:bookmarkStart w:name="heading_158" w:id="158"/>
      <w:r>
        <w:rPr>
          <w:rFonts w:eastAsia="等线" w:ascii="Arial" w:cs="Arial" w:hAnsi="Arial"/>
          <w:b w:val="true"/>
          <w:sz w:val="28"/>
        </w:rPr>
        <w:t>Decision</w:t>
      </w:r>
      <w:bookmarkEnd w:id="158"/>
    </w:p>
    <w:p>
      <w:pPr>
        <w:numPr>
          <w:numId w:val="134"/>
        </w:numPr>
        <w:spacing w:before="120" w:after="120" w:line="288" w:lineRule="auto"/>
        <w:ind w:left="0"/>
        <w:jc w:val="left"/>
      </w:pPr>
      <w:r>
        <w:rPr>
          <w:rFonts w:eastAsia="等线" w:ascii="Arial" w:cs="Arial" w:hAnsi="Arial"/>
          <w:sz w:val="22"/>
        </w:rPr>
        <w:t>MAIA does not need prior scenario mapping to proceed — the user instructs MAIA whether to create a payment receipt or payment voucher</w:t>
      </w:r>
    </w:p>
    <w:p>
      <w:pPr>
        <w:pStyle w:val="4"/>
        <w:spacing w:before="260" w:after="120" w:line="288" w:lineRule="auto"/>
        <w:ind w:left="0"/>
        <w:jc w:val="left"/>
        <w:outlineLvl w:val="3"/>
      </w:pPr>
      <w:bookmarkStart w:name="heading_159" w:id="159"/>
      <w:r>
        <w:rPr>
          <w:rFonts w:eastAsia="等线" w:ascii="Arial" w:cs="Arial" w:hAnsi="Arial"/>
          <w:b w:val="true"/>
          <w:sz w:val="28"/>
        </w:rPr>
        <w:t>Treatment</w:t>
      </w:r>
      <w:bookmarkEnd w:id="159"/>
    </w:p>
    <w:p>
      <w:pPr>
        <w:numPr>
          <w:numId w:val="135"/>
        </w:numPr>
        <w:spacing w:before="120" w:after="120" w:line="288" w:lineRule="auto"/>
        <w:ind w:left="0"/>
        <w:jc w:val="left"/>
      </w:pPr>
      <w:r>
        <w:rPr>
          <w:rFonts w:eastAsia="等线" w:ascii="Arial" w:cs="Arial" w:hAnsi="Arial"/>
          <w:sz w:val="22"/>
        </w:rPr>
        <w:t>The attachment is attached to the draft payment entry; reconciliation and allocation of payment to invoices remains manual and user-instructed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0" w:id="160"/>
      <w:r>
        <w:rPr>
          <w:rFonts w:eastAsia="等线" w:ascii="Arial" w:cs="Arial" w:hAnsi="Arial"/>
          <w:b w:val="true"/>
          <w:sz w:val="30"/>
        </w:rPr>
        <w:t>R-04 — Fulfillment percentage calculation source</w:t>
      </w:r>
      <w:bookmarkEnd w:id="160"/>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REMOVED</w:t>
        <w:br/>
      </w:r>
      <w:r>
        <w:rPr>
          <w:rFonts w:eastAsia="等线" w:ascii="Arial" w:cs="Arial" w:hAnsi="Arial"/>
          <w:b w:val="true"/>
          <w:sz w:val="22"/>
        </w:rPr>
        <w:t>Source:</w:t>
      </w:r>
      <w:r>
        <w:rPr>
          <w:rFonts w:eastAsia="等线" w:ascii="Arial" w:cs="Arial" w:hAnsi="Arial"/>
          <w:sz w:val="22"/>
        </w:rPr>
        <w:t xml:space="preserve"> v1.2</w:t>
      </w:r>
    </w:p>
    <w:p>
      <w:pPr>
        <w:pStyle w:val="4"/>
        <w:spacing w:before="260" w:after="120" w:line="288" w:lineRule="auto"/>
        <w:ind w:left="0"/>
        <w:jc w:val="left"/>
        <w:outlineLvl w:val="3"/>
      </w:pPr>
      <w:bookmarkStart w:name="heading_161" w:id="161"/>
      <w:r>
        <w:rPr>
          <w:rFonts w:eastAsia="等线" w:ascii="Arial" w:cs="Arial" w:hAnsi="Arial"/>
          <w:b w:val="true"/>
          <w:sz w:val="28"/>
        </w:rPr>
        <w:t>Decision</w:t>
      </w:r>
      <w:bookmarkEnd w:id="161"/>
    </w:p>
    <w:p>
      <w:pPr>
        <w:numPr>
          <w:numId w:val="136"/>
        </w:numPr>
        <w:spacing w:before="120" w:after="120" w:line="288" w:lineRule="auto"/>
        <w:ind w:left="0"/>
        <w:jc w:val="left"/>
      </w:pPr>
      <w:r>
        <w:rPr>
          <w:rFonts w:eastAsia="等线" w:ascii="Arial" w:cs="Arial" w:hAnsi="Arial"/>
          <w:sz w:val="22"/>
        </w:rPr>
        <w:t>The former NSD-08 item is removed — MAIA's existing order listing and fulfillment logic applies</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No new evidence changes any of R-01 through R-04.</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2" w:id="162"/>
      <w:r>
        <w:rPr>
          <w:rFonts w:eastAsia="等线" w:ascii="Arial" w:cs="Arial" w:hAnsi="Arial"/>
          <w:b w:val="true"/>
          <w:sz w:val="32"/>
        </w:rPr>
        <w:t>7. Supersessions Log</w:t>
      </w:r>
      <w:bookmarkEnd w:id="162"/>
    </w:p>
    <w:p>
      <w:pPr>
        <w:pStyle w:val="3"/>
        <w:spacing w:before="300" w:after="120" w:line="288" w:lineRule="auto"/>
        <w:ind w:left="0"/>
        <w:jc w:val="left"/>
        <w:outlineLvl w:val="2"/>
      </w:pPr>
      <w:bookmarkStart w:name="heading_163" w:id="163"/>
      <w:r>
        <w:rPr>
          <w:rFonts w:eastAsia="等线" w:ascii="Arial" w:cs="Arial" w:hAnsi="Arial"/>
          <w:b w:val="true"/>
          <w:sz w:val="30"/>
        </w:rPr>
        <w:t>SUP-01 — CPR/CPRN pre-order reservation replaced by committed-order visibility</w:t>
      </w:r>
      <w:bookmarkEnd w:id="163"/>
    </w:p>
    <w:p>
      <w:pPr>
        <w:numPr>
          <w:numId w:val="137"/>
        </w:numPr>
        <w:spacing w:before="120" w:after="120" w:line="288" w:lineRule="auto"/>
        <w:ind w:left="0"/>
        <w:jc w:val="left"/>
      </w:pPr>
      <w:r>
        <w:rPr>
          <w:rFonts w:eastAsia="等线" w:ascii="Arial" w:cs="Arial" w:hAnsi="Arial"/>
          <w:b w:val="true"/>
          <w:sz w:val="22"/>
        </w:rPr>
        <w:t>Original idea:</w:t>
      </w:r>
      <w:r>
        <w:rPr>
          <w:rFonts w:eastAsia="等线" w:ascii="Arial" w:cs="Arial" w:hAnsi="Arial"/>
          <w:sz w:val="22"/>
        </w:rPr>
        <w:t xml:space="preserve"> A CPR/CPRN/customer purchase request note concept was discussed in earlier proposal context, to track pre-order commitments or informal stock reservation</w:t>
      </w:r>
    </w:p>
    <w:p>
      <w:pPr>
        <w:numPr>
          <w:numId w:val="138"/>
        </w:numPr>
        <w:spacing w:before="120" w:after="120" w:line="288" w:lineRule="auto"/>
        <w:ind w:left="0"/>
        <w:jc w:val="left"/>
      </w:pPr>
      <w:r>
        <w:rPr>
          <w:rFonts w:eastAsia="等线" w:ascii="Arial" w:cs="Arial" w:hAnsi="Arial"/>
          <w:b w:val="true"/>
          <w:sz w:val="22"/>
        </w:rPr>
        <w:t>Now intended:</w:t>
      </w:r>
      <w:r>
        <w:rPr>
          <w:rFonts w:eastAsia="等线" w:ascii="Arial" w:cs="Arial" w:hAnsi="Arial"/>
          <w:sz w:val="22"/>
        </w:rPr>
        <w:t xml:space="preserve"> CPR/CPRN is out of scope; the validated requirement is visibility into reserved/committed quantities tied to actual order flow</w:t>
      </w:r>
    </w:p>
    <w:p>
      <w:pPr>
        <w:numPr>
          <w:numId w:val="139"/>
        </w:numPr>
        <w:spacing w:before="120" w:after="120" w:line="288" w:lineRule="auto"/>
        <w:ind w:left="0"/>
        <w:jc w:val="left"/>
      </w:pPr>
      <w:r>
        <w:rPr>
          <w:rFonts w:eastAsia="等线" w:ascii="Arial" w:cs="Arial" w:hAnsi="Arial"/>
          <w:b w:val="true"/>
          <w:sz w:val="22"/>
        </w:rPr>
        <w:t>Who changed:</w:t>
      </w:r>
      <w:r>
        <w:rPr>
          <w:rFonts w:eastAsia="等线" w:ascii="Arial" w:cs="Arial" w:hAnsi="Arial"/>
          <w:sz w:val="22"/>
        </w:rPr>
        <w:t xml:space="preserve"> Validated during requirements gathering as not a common use case for GST</w:t>
      </w:r>
    </w:p>
    <w:p>
      <w:pPr>
        <w:numPr>
          <w:numId w:val="140"/>
        </w:numPr>
        <w:spacing w:before="120" w:after="120" w:line="288" w:lineRule="auto"/>
        <w:ind w:left="0"/>
        <w:jc w:val="left"/>
      </w:pPr>
      <w:r>
        <w:rPr>
          <w:rFonts w:eastAsia="等线" w:ascii="Arial" w:cs="Arial" w:hAnsi="Arial"/>
          <w:b w:val="true"/>
          <w:sz w:val="22"/>
        </w:rPr>
        <w:t>Rationale:</w:t>
      </w:r>
      <w:r>
        <w:rPr>
          <w:rFonts w:eastAsia="Consolas" w:ascii="Consolas" w:cs="Consolas" w:hAnsi="Consolas"/>
          <w:sz w:val="22"/>
          <w:shd w:fill="EFF0F1"/>
        </w:rPr>
        <w:t>[FF-PROP | CPRN concept][FF-RG-A | CPRN reframed as not common use case]</w:t>
      </w:r>
    </w:p>
    <w:p>
      <w:pPr>
        <w:numPr>
          <w:numId w:val="141"/>
        </w:numPr>
        <w:spacing w:before="120" w:after="120" w:line="288" w:lineRule="auto"/>
        <w:ind w:left="0"/>
        <w:jc w:val="left"/>
      </w:pPr>
      <w:r>
        <w:rPr>
          <w:rFonts w:eastAsia="等线" w:ascii="Arial" w:cs="Arial" w:hAnsi="Arial"/>
          <w:b w:val="true"/>
          <w:sz w:val="22"/>
        </w:rPr>
        <w:t>Client agreed:</w:t>
      </w:r>
      <w:r>
        <w:rPr>
          <w:rFonts w:eastAsia="等线" w:ascii="Arial" w:cs="Arial" w:hAnsi="Arial"/>
          <w:sz w:val="22"/>
        </w:rPr>
        <w:t xml:space="preserve"> Validated in requirements gathering as not a common use case</w:t>
      </w:r>
    </w:p>
    <w:p>
      <w:pPr>
        <w:numPr>
          <w:numId w:val="142"/>
        </w:numPr>
        <w:spacing w:before="120" w:after="120" w:line="288" w:lineRule="auto"/>
        <w:ind w:left="0"/>
        <w:jc w:val="left"/>
      </w:pPr>
      <w:r>
        <w:rPr>
          <w:rFonts w:eastAsia="等线" w:ascii="Arial" w:cs="Arial" w:hAnsi="Arial"/>
          <w:b w:val="true"/>
          <w:sz w:val="22"/>
        </w:rPr>
        <w:t>Current status:</w:t>
      </w:r>
      <w:r>
        <w:rPr>
          <w:rFonts w:eastAsia="等线" w:ascii="Arial" w:cs="Arial" w:hAnsi="Arial"/>
          <w:sz w:val="22"/>
        </w:rPr>
        <w:t xml:space="preserve"> OUT OF SCOPE (carried, unchanged) — see OOS-01</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4" w:id="164"/>
      <w:r>
        <w:rPr>
          <w:rFonts w:eastAsia="等线" w:ascii="Arial" w:cs="Arial" w:hAnsi="Arial"/>
          <w:b w:val="true"/>
          <w:sz w:val="30"/>
        </w:rPr>
        <w:t>SUP-02 — Stock transformation engine excluded from MAIA</w:t>
      </w:r>
      <w:bookmarkEnd w:id="164"/>
    </w:p>
    <w:p>
      <w:pPr>
        <w:numPr>
          <w:numId w:val="143"/>
        </w:numPr>
        <w:spacing w:before="120" w:after="120" w:line="288" w:lineRule="auto"/>
        <w:ind w:left="0"/>
        <w:jc w:val="left"/>
      </w:pPr>
      <w:r>
        <w:rPr>
          <w:rFonts w:eastAsia="等线" w:ascii="Arial" w:cs="Arial" w:hAnsi="Arial"/>
          <w:b w:val="true"/>
          <w:sz w:val="22"/>
        </w:rPr>
        <w:t>Original idea:</w:t>
      </w:r>
      <w:r>
        <w:rPr>
          <w:rFonts w:eastAsia="等线" w:ascii="Arial" w:cs="Arial" w:hAnsi="Arial"/>
          <w:sz w:val="22"/>
        </w:rPr>
        <w:t xml:space="preserve"> GST's seafood processing and stock transformation was explored as a possible MAIA capability</w:t>
      </w:r>
    </w:p>
    <w:p>
      <w:pPr>
        <w:numPr>
          <w:numId w:val="144"/>
        </w:numPr>
        <w:spacing w:before="120" w:after="120" w:line="288" w:lineRule="auto"/>
        <w:ind w:left="0"/>
        <w:jc w:val="left"/>
      </w:pPr>
      <w:r>
        <w:rPr>
          <w:rFonts w:eastAsia="等线" w:ascii="Arial" w:cs="Arial" w:hAnsi="Arial"/>
          <w:b w:val="true"/>
          <w:sz w:val="22"/>
        </w:rPr>
        <w:t>Now intended:</w:t>
      </w:r>
      <w:r>
        <w:rPr>
          <w:rFonts w:eastAsia="等线" w:ascii="Arial" w:cs="Arial" w:hAnsi="Arial"/>
          <w:sz w:val="22"/>
        </w:rPr>
        <w:t xml:space="preserve"> MAIA will not support GST's custom SAP stock-transformation workflow; users continue performing stock transformation in SAP; MAIA syncs resulting inventory quantities after SAP-side transformation</w:t>
      </w:r>
    </w:p>
    <w:p>
      <w:pPr>
        <w:numPr>
          <w:numId w:val="145"/>
        </w:numPr>
        <w:spacing w:before="120" w:after="120" w:line="288" w:lineRule="auto"/>
        <w:ind w:left="0"/>
        <w:jc w:val="left"/>
      </w:pPr>
      <w:r>
        <w:rPr>
          <w:rFonts w:eastAsia="等线" w:ascii="Arial" w:cs="Arial" w:hAnsi="Arial"/>
          <w:b w:val="true"/>
          <w:sz w:val="22"/>
        </w:rPr>
        <w:t>Who changed:</w:t>
      </w:r>
      <w:r>
        <w:rPr>
          <w:rFonts w:eastAsia="Consolas" w:ascii="Consolas" w:cs="Consolas" w:hAnsi="Consolas"/>
          <w:sz w:val="22"/>
          <w:shd w:fill="EFF0F1"/>
        </w:rPr>
        <w:t>[FF-RG-A | stock transformation discussion][SAP-VENDOR | SAP stock transformation custom feature]</w:t>
      </w:r>
    </w:p>
    <w:p>
      <w:pPr>
        <w:numPr>
          <w:numId w:val="146"/>
        </w:numPr>
        <w:spacing w:before="120" w:after="120" w:line="288" w:lineRule="auto"/>
        <w:ind w:left="0"/>
        <w:jc w:val="left"/>
      </w:pPr>
      <w:r>
        <w:rPr>
          <w:rFonts w:eastAsia="等线" w:ascii="Arial" w:cs="Arial" w:hAnsi="Arial"/>
          <w:b w:val="true"/>
          <w:sz w:val="22"/>
        </w:rPr>
        <w:t>Rationale:</w:t>
      </w:r>
      <w:r>
        <w:rPr>
          <w:rFonts w:eastAsia="等线" w:ascii="Arial" w:cs="Arial" w:hAnsi="Arial"/>
          <w:sz w:val="22"/>
        </w:rPr>
        <w:t xml:space="preserve"> GST's transformation module is a custom SAP module, not standard BOM</w:t>
      </w:r>
    </w:p>
    <w:p>
      <w:pPr>
        <w:numPr>
          <w:numId w:val="147"/>
        </w:numPr>
        <w:spacing w:before="120" w:after="120" w:line="288" w:lineRule="auto"/>
        <w:ind w:left="0"/>
        <w:jc w:val="left"/>
      </w:pPr>
      <w:r>
        <w:rPr>
          <w:rFonts w:eastAsia="等线" w:ascii="Arial" w:cs="Arial" w:hAnsi="Arial"/>
          <w:b w:val="true"/>
          <w:sz w:val="22"/>
        </w:rPr>
        <w:t>Client agreed:</w:t>
      </w:r>
      <w:r>
        <w:rPr>
          <w:rFonts w:eastAsia="等线" w:ascii="Arial" w:cs="Arial" w:hAnsi="Arial"/>
          <w:sz w:val="22"/>
        </w:rPr>
        <w:t xml:space="preserve"> Yes, per v1.2</w:t>
      </w:r>
    </w:p>
    <w:p>
      <w:pPr>
        <w:numPr>
          <w:numId w:val="148"/>
        </w:numPr>
        <w:spacing w:before="120" w:after="120" w:line="288" w:lineRule="auto"/>
        <w:ind w:left="0"/>
        <w:jc w:val="left"/>
      </w:pPr>
      <w:r>
        <w:rPr>
          <w:rFonts w:eastAsia="等线" w:ascii="Arial" w:cs="Arial" w:hAnsi="Arial"/>
          <w:b w:val="true"/>
          <w:sz w:val="22"/>
        </w:rPr>
        <w:t>Current status:</w:t>
      </w:r>
      <w:r>
        <w:rPr>
          <w:rFonts w:eastAsia="等线" w:ascii="Arial" w:cs="Arial" w:hAnsi="Arial"/>
          <w:sz w:val="22"/>
        </w:rPr>
        <w:t xml:space="preserve"> OUT OF SCOPE (carried, unchanged) — see OOS-02. This corrects the draft this v2 started from, which had incorrectly marked stock-transformation </w:t>
      </w:r>
      <w:r>
        <w:rPr>
          <w:rFonts w:eastAsia="等线" w:ascii="Arial" w:cs="Arial" w:hAnsi="Arial"/>
          <w:i w:val="true"/>
          <w:sz w:val="22"/>
        </w:rPr>
        <w:t>sync depth</w:t>
      </w:r>
      <w:r>
        <w:rPr>
          <w:rFonts w:eastAsia="等线" w:ascii="Arial" w:cs="Arial" w:hAnsi="Arial"/>
          <w:sz w:val="22"/>
        </w:rPr>
        <w:t xml:space="preserve"> as a locked build requirement based on SOW §2.4 wording alone.</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5" w:id="165"/>
      <w:r>
        <w:rPr>
          <w:rFonts w:eastAsia="等线" w:ascii="Arial" w:cs="Arial" w:hAnsi="Arial"/>
          <w:b w:val="true"/>
          <w:sz w:val="30"/>
        </w:rPr>
        <w:t>SUP-03 — Batch/expiry alerts replaced by movement-based slow stock reports</w:t>
      </w:r>
      <w:bookmarkEnd w:id="165"/>
    </w:p>
    <w:p>
      <w:pPr>
        <w:numPr>
          <w:numId w:val="149"/>
        </w:numPr>
        <w:spacing w:before="120" w:after="120" w:line="288" w:lineRule="auto"/>
        <w:ind w:left="0"/>
        <w:jc w:val="left"/>
      </w:pPr>
      <w:r>
        <w:rPr>
          <w:rFonts w:eastAsia="等线" w:ascii="Arial" w:cs="Arial" w:hAnsi="Arial"/>
          <w:b w:val="true"/>
          <w:sz w:val="22"/>
        </w:rPr>
        <w:t>Original idea:</w:t>
      </w:r>
      <w:r>
        <w:rPr>
          <w:rFonts w:eastAsia="等线" w:ascii="Arial" w:cs="Arial" w:hAnsi="Arial"/>
          <w:sz w:val="22"/>
        </w:rPr>
        <w:t xml:space="preserve"> Expiry, aging, or batch-based alerts were discussed</w:t>
      </w:r>
    </w:p>
    <w:p>
      <w:pPr>
        <w:numPr>
          <w:numId w:val="150"/>
        </w:numPr>
        <w:spacing w:before="120" w:after="120" w:line="288" w:lineRule="auto"/>
        <w:ind w:left="0"/>
        <w:jc w:val="left"/>
      </w:pPr>
      <w:r>
        <w:rPr>
          <w:rFonts w:eastAsia="等线" w:ascii="Arial" w:cs="Arial" w:hAnsi="Arial"/>
          <w:b w:val="true"/>
          <w:sz w:val="22"/>
        </w:rPr>
        <w:t>Now intended:</w:t>
      </w:r>
      <w:r>
        <w:rPr>
          <w:rFonts w:eastAsia="等线" w:ascii="Arial" w:cs="Arial" w:hAnsi="Arial"/>
          <w:sz w:val="22"/>
        </w:rPr>
        <w:t xml:space="preserve"> Because GST does not capture batch number or expiry data in the required structured form, MAIA will not provide batch-expiry alerts — instead it surfaces slow-moving stock via reports, notifications, warehouse dashboard, stock aging reports, and stock movement reports</w:t>
      </w:r>
    </w:p>
    <w:p>
      <w:pPr>
        <w:numPr>
          <w:numId w:val="151"/>
        </w:numPr>
        <w:spacing w:before="120" w:after="120" w:line="288" w:lineRule="auto"/>
        <w:ind w:left="0"/>
        <w:jc w:val="left"/>
      </w:pPr>
      <w:r>
        <w:rPr>
          <w:rFonts w:eastAsia="等线" w:ascii="Arial" w:cs="Arial" w:hAnsi="Arial"/>
          <w:b w:val="true"/>
          <w:sz w:val="22"/>
        </w:rPr>
        <w:t>Who changed:</w:t>
      </w:r>
      <w:r>
        <w:rPr>
          <w:rFonts w:eastAsia="Consolas" w:ascii="Consolas" w:cs="Consolas" w:hAnsi="Consolas"/>
          <w:sz w:val="22"/>
          <w:shd w:fill="EFF0F1"/>
        </w:rPr>
        <w:t>[FF-RG-A | batch / expiry limitation]</w:t>
      </w:r>
    </w:p>
    <w:p>
      <w:pPr>
        <w:numPr>
          <w:numId w:val="152"/>
        </w:numPr>
        <w:spacing w:before="120" w:after="120" w:line="288" w:lineRule="auto"/>
        <w:ind w:left="0"/>
        <w:jc w:val="left"/>
      </w:pPr>
      <w:r>
        <w:rPr>
          <w:rFonts w:eastAsia="等线" w:ascii="Arial" w:cs="Arial" w:hAnsi="Arial"/>
          <w:b w:val="true"/>
          <w:sz w:val="22"/>
        </w:rPr>
        <w:t>Rationale:</w:t>
      </w:r>
      <w:r>
        <w:rPr>
          <w:rFonts w:eastAsia="等线" w:ascii="Arial" w:cs="Arial" w:hAnsi="Arial"/>
          <w:sz w:val="22"/>
        </w:rPr>
        <w:t xml:space="preserve"> Data unavailable in SAP in the required form</w:t>
      </w:r>
    </w:p>
    <w:p>
      <w:pPr>
        <w:numPr>
          <w:numId w:val="153"/>
        </w:numPr>
        <w:spacing w:before="120" w:after="120" w:line="288" w:lineRule="auto"/>
        <w:ind w:left="0"/>
        <w:jc w:val="left"/>
      </w:pPr>
      <w:r>
        <w:rPr>
          <w:rFonts w:eastAsia="等线" w:ascii="Arial" w:cs="Arial" w:hAnsi="Arial"/>
          <w:b w:val="true"/>
          <w:sz w:val="22"/>
        </w:rPr>
        <w:t>Client agreed:</w:t>
      </w:r>
      <w:r>
        <w:rPr>
          <w:rFonts w:eastAsia="等线" w:ascii="Arial" w:cs="Arial" w:hAnsi="Arial"/>
          <w:sz w:val="22"/>
        </w:rPr>
        <w:t xml:space="preserve"> Yes, per v1.2</w:t>
      </w:r>
    </w:p>
    <w:p>
      <w:pPr>
        <w:numPr>
          <w:numId w:val="154"/>
        </w:numPr>
        <w:spacing w:before="120" w:after="120" w:line="288" w:lineRule="auto"/>
        <w:ind w:left="0"/>
        <w:jc w:val="left"/>
      </w:pPr>
      <w:r>
        <w:rPr>
          <w:rFonts w:eastAsia="等线" w:ascii="Arial" w:cs="Arial" w:hAnsi="Arial"/>
          <w:b w:val="true"/>
          <w:sz w:val="22"/>
        </w:rPr>
        <w:t>Current status:</w:t>
      </w:r>
      <w:r>
        <w:rPr>
          <w:rFonts w:eastAsia="等线" w:ascii="Arial" w:cs="Arial" w:hAnsi="Arial"/>
          <w:sz w:val="22"/>
        </w:rPr>
        <w:t xml:space="preserve"> Batch/expiry alerts OUT OF SCOPE (OOS-04); movement-based slow stock visibility IN SCOPE (SL-12) — carried, unchanged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6" w:id="166"/>
      <w:r>
        <w:rPr>
          <w:rFonts w:eastAsia="等线" w:ascii="Arial" w:cs="Arial" w:hAnsi="Arial"/>
          <w:b w:val="true"/>
          <w:sz w:val="30"/>
        </w:rPr>
        <w:t>SUP-04 — Excel planning / purchasing calculator excluded</w:t>
      </w:r>
      <w:bookmarkEnd w:id="166"/>
    </w:p>
    <w:p>
      <w:pPr>
        <w:numPr>
          <w:numId w:val="155"/>
        </w:numPr>
        <w:spacing w:before="120" w:after="120" w:line="288" w:lineRule="auto"/>
        <w:ind w:left="0"/>
        <w:jc w:val="left"/>
      </w:pPr>
      <w:r>
        <w:rPr>
          <w:rFonts w:eastAsia="等线" w:ascii="Arial" w:cs="Arial" w:hAnsi="Arial"/>
          <w:b w:val="true"/>
          <w:sz w:val="22"/>
        </w:rPr>
        <w:t>Original idea:</w:t>
      </w:r>
      <w:r>
        <w:rPr>
          <w:rFonts w:eastAsia="等线" w:ascii="Arial" w:cs="Arial" w:hAnsi="Arial"/>
          <w:sz w:val="22"/>
        </w:rPr>
        <w:t xml:space="preserve"> An Excel export or planning/purchasing support item was discussed</w:t>
      </w:r>
    </w:p>
    <w:p>
      <w:pPr>
        <w:numPr>
          <w:numId w:val="156"/>
        </w:numPr>
        <w:spacing w:before="120" w:after="120" w:line="288" w:lineRule="auto"/>
        <w:ind w:left="0"/>
        <w:jc w:val="left"/>
      </w:pPr>
      <w:r>
        <w:rPr>
          <w:rFonts w:eastAsia="等线" w:ascii="Arial" w:cs="Arial" w:hAnsi="Arial"/>
          <w:b w:val="true"/>
          <w:sz w:val="22"/>
        </w:rPr>
        <w:t>Now intended:</w:t>
      </w:r>
      <w:r>
        <w:rPr>
          <w:rFonts w:eastAsia="等线" w:ascii="Arial" w:cs="Arial" w:hAnsi="Arial"/>
          <w:sz w:val="22"/>
        </w:rPr>
        <w:t xml:space="preserve"> Excel planning/purchasing calculator is out of scope</w:t>
      </w:r>
    </w:p>
    <w:p>
      <w:pPr>
        <w:numPr>
          <w:numId w:val="157"/>
        </w:numPr>
        <w:spacing w:before="120" w:after="120" w:line="288" w:lineRule="auto"/>
        <w:ind w:left="0"/>
        <w:jc w:val="left"/>
      </w:pPr>
      <w:r>
        <w:rPr>
          <w:rFonts w:eastAsia="等线" w:ascii="Arial" w:cs="Arial" w:hAnsi="Arial"/>
          <w:b w:val="true"/>
          <w:sz w:val="22"/>
        </w:rPr>
        <w:t>Who changed:</w:t>
      </w:r>
      <w:r>
        <w:rPr>
          <w:rFonts w:eastAsia="Consolas" w:ascii="Consolas" w:cs="Consolas" w:hAnsi="Consolas"/>
          <w:sz w:val="22"/>
          <w:shd w:fill="EFF0F1"/>
        </w:rPr>
        <w:t>[FF-RG-A | planning Excel unclear]</w:t>
      </w:r>
    </w:p>
    <w:p>
      <w:pPr>
        <w:numPr>
          <w:numId w:val="158"/>
        </w:numPr>
        <w:spacing w:before="120" w:after="120" w:line="288" w:lineRule="auto"/>
        <w:ind w:left="0"/>
        <w:jc w:val="left"/>
      </w:pPr>
      <w:r>
        <w:rPr>
          <w:rFonts w:eastAsia="等线" w:ascii="Arial" w:cs="Arial" w:hAnsi="Arial"/>
          <w:b w:val="true"/>
          <w:sz w:val="22"/>
        </w:rPr>
        <w:t>Rationale:</w:t>
      </w:r>
      <w:r>
        <w:rPr>
          <w:rFonts w:eastAsia="等线" w:ascii="Arial" w:cs="Arial" w:hAnsi="Arial"/>
          <w:sz w:val="22"/>
        </w:rPr>
        <w:t xml:space="preserve"> Stakeholders present in detailed requirements gathering were unsure of the direct or detailed requirements — not safe to treat as scoped</w:t>
      </w:r>
    </w:p>
    <w:p>
      <w:pPr>
        <w:numPr>
          <w:numId w:val="159"/>
        </w:numPr>
        <w:spacing w:before="120" w:after="120" w:line="288" w:lineRule="auto"/>
        <w:ind w:left="0"/>
        <w:jc w:val="left"/>
      </w:pPr>
      <w:r>
        <w:rPr>
          <w:rFonts w:eastAsia="等线" w:ascii="Arial" w:cs="Arial" w:hAnsi="Arial"/>
          <w:b w:val="true"/>
          <w:sz w:val="22"/>
        </w:rPr>
        <w:t>Client agreed:</w:t>
      </w:r>
      <w:r>
        <w:rPr>
          <w:rFonts w:eastAsia="等线" w:ascii="Arial" w:cs="Arial" w:hAnsi="Arial"/>
          <w:sz w:val="22"/>
        </w:rPr>
        <w:t xml:space="preserve"> Not evidenced as GST-requested; internal Mindhive scoping call</w:t>
      </w:r>
    </w:p>
    <w:p>
      <w:pPr>
        <w:numPr>
          <w:numId w:val="160"/>
        </w:numPr>
        <w:spacing w:before="120" w:after="120" w:line="288" w:lineRule="auto"/>
        <w:ind w:left="0"/>
        <w:jc w:val="left"/>
      </w:pPr>
      <w:r>
        <w:rPr>
          <w:rFonts w:eastAsia="等线" w:ascii="Arial" w:cs="Arial" w:hAnsi="Arial"/>
          <w:b w:val="true"/>
          <w:sz w:val="22"/>
        </w:rPr>
        <w:t>Current status:</w:t>
      </w:r>
      <w:r>
        <w:rPr>
          <w:rFonts w:eastAsia="等线" w:ascii="Arial" w:cs="Arial" w:hAnsi="Arial"/>
          <w:sz w:val="22"/>
        </w:rPr>
        <w:t xml:space="preserve"> OUT OF SCOPE (carried, unchanged) — see OOS-05</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7" w:id="167"/>
      <w:r>
        <w:rPr>
          <w:rFonts w:eastAsia="等线" w:ascii="Arial" w:cs="Arial" w:hAnsi="Arial"/>
          <w:b w:val="true"/>
          <w:sz w:val="30"/>
        </w:rPr>
        <w:t>SUP-05 (new) — Phase-2-adjacent items building ahead of their commercial/UAT gate</w:t>
      </w:r>
      <w:bookmarkEnd w:id="167"/>
    </w:p>
    <w:p>
      <w:pPr>
        <w:numPr>
          <w:numId w:val="161"/>
        </w:numPr>
        <w:spacing w:before="120" w:after="120" w:line="288" w:lineRule="auto"/>
        <w:ind w:left="0"/>
        <w:jc w:val="left"/>
      </w:pPr>
      <w:r>
        <w:rPr>
          <w:rFonts w:eastAsia="等线" w:ascii="Arial" w:cs="Arial" w:hAnsi="Arial"/>
          <w:b w:val="true"/>
          <w:sz w:val="22"/>
        </w:rPr>
        <w:t>SOW baseline:</w:t>
      </w:r>
      <w:r>
        <w:rPr>
          <w:rFonts w:eastAsia="等线" w:ascii="Arial" w:cs="Arial" w:hAnsi="Arial"/>
          <w:sz w:val="22"/>
        </w:rPr>
        <w:t xml:space="preserve"> Phase 2 customisations (CPRN-adjacent tracking, SOA generation, Aging/clearance reminders) are scoped and built only after Phase 1 go-live, separately priced, and payable only after their own Phase 2 UAT </w:t>
      </w:r>
      <w:r>
        <w:rPr>
          <w:rFonts w:eastAsia="Consolas" w:ascii="Consolas" w:cs="Consolas" w:hAnsi="Consolas"/>
          <w:sz w:val="22"/>
          <w:shd w:fill="EFF0F1"/>
        </w:rPr>
        <w:t>[SOW | §4, §5.2]</w:t>
      </w:r>
    </w:p>
    <w:p>
      <w:pPr>
        <w:numPr>
          <w:numId w:val="162"/>
        </w:numPr>
        <w:spacing w:before="120" w:after="120" w:line="288" w:lineRule="auto"/>
        <w:ind w:left="0"/>
        <w:jc w:val="left"/>
      </w:pPr>
      <w:r>
        <w:rPr>
          <w:rFonts w:eastAsia="等线" w:ascii="Arial" w:cs="Arial" w:hAnsi="Arial"/>
          <w:b w:val="true"/>
          <w:sz w:val="22"/>
        </w:rPr>
        <w:t>Now intended:</w:t>
      </w:r>
      <w:r>
        <w:rPr>
          <w:rFonts w:eastAsia="等线" w:ascii="Arial" w:cs="Arial" w:hAnsi="Arial"/>
          <w:sz w:val="22"/>
        </w:rPr>
        <w:t xml:space="preserve"> the 2026-07-07 Backward Plan's Customisations table shows SOA-related build work, an "Aging/Slow-Moving Alert," and an item called "Item Name Override" all </w:t>
      </w:r>
      <w:r>
        <w:rPr>
          <w:rFonts w:eastAsia="等线" w:ascii="Arial" w:cs="Arial" w:hAnsi="Arial"/>
          <w:b w:val="true"/>
          <w:sz w:val="22"/>
        </w:rPr>
        <w:t>"In Progress"</w:t>
      </w:r>
      <w:r>
        <w:rPr>
          <w:rFonts w:eastAsia="等线" w:ascii="Arial" w:cs="Arial" w:hAnsi="Arial"/>
          <w:sz w:val="22"/>
        </w:rPr>
        <w:t xml:space="preserve"> with July dates </w:t>
      </w:r>
      <w:r>
        <w:rPr>
          <w:rFonts w:eastAsia="Consolas" w:ascii="Consolas" w:cs="Consolas" w:hAnsi="Consolas"/>
          <w:sz w:val="22"/>
          <w:shd w:fill="EFF0F1"/>
        </w:rPr>
        <w:t>[BP | Customisations table]</w:t>
      </w:r>
      <w:r>
        <w:rPr>
          <w:rFonts w:eastAsia="等线" w:ascii="Arial" w:cs="Arial" w:hAnsi="Arial"/>
          <w:sz w:val="22"/>
        </w:rPr>
        <w:t xml:space="preserve"> — during the Phase 1 core build window (M1–M3), before Phase 1 UAT (planned 2026-08-04–06)</w:t>
      </w:r>
    </w:p>
    <w:p>
      <w:pPr>
        <w:numPr>
          <w:numId w:val="163"/>
        </w:numPr>
        <w:spacing w:before="120" w:after="120" w:line="288" w:lineRule="auto"/>
        <w:ind w:left="0"/>
        <w:jc w:val="left"/>
      </w:pPr>
      <w:r>
        <w:rPr>
          <w:rFonts w:eastAsia="等线" w:ascii="Arial" w:cs="Arial" w:hAnsi="Arial"/>
          <w:b w:val="true"/>
          <w:sz w:val="22"/>
        </w:rPr>
        <w:t>Who changed:</w:t>
      </w:r>
      <w:r>
        <w:rPr>
          <w:rFonts w:eastAsia="等线" w:ascii="Arial" w:cs="Arial" w:hAnsi="Arial"/>
          <w:sz w:val="22"/>
        </w:rPr>
        <w:t xml:space="preserve"> Appears to be a Mindhive delivery-team sequencing decision — no client-side source shows GST requesting or agreeing to this</w:t>
      </w:r>
    </w:p>
    <w:p>
      <w:pPr>
        <w:numPr>
          <w:numId w:val="164"/>
        </w:numPr>
        <w:spacing w:before="120" w:after="120" w:line="288" w:lineRule="auto"/>
        <w:ind w:left="0"/>
        <w:jc w:val="left"/>
      </w:pPr>
      <w:r>
        <w:rPr>
          <w:rFonts w:eastAsia="等线" w:ascii="Arial" w:cs="Arial" w:hAnsi="Arial"/>
          <w:b w:val="true"/>
          <w:sz w:val="22"/>
        </w:rPr>
        <w:t>Rationale:</w:t>
      </w:r>
      <w:r>
        <w:rPr>
          <w:rFonts w:eastAsia="等线" w:ascii="Arial" w:cs="Arial" w:hAnsi="Arial"/>
          <w:sz w:val="22"/>
        </w:rPr>
        <w:t xml:space="preserve"> Not evidenced</w:t>
      </w:r>
    </w:p>
    <w:p>
      <w:pPr>
        <w:numPr>
          <w:numId w:val="165"/>
        </w:numPr>
        <w:spacing w:before="120" w:after="120" w:line="288" w:lineRule="auto"/>
        <w:ind w:left="0"/>
        <w:jc w:val="left"/>
      </w:pPr>
      <w:r>
        <w:rPr>
          <w:rFonts w:eastAsia="等线" w:ascii="Arial" w:cs="Arial" w:hAnsi="Arial"/>
          <w:b w:val="true"/>
          <w:sz w:val="22"/>
        </w:rPr>
        <w:t>Client agreed:</w:t>
      </w:r>
      <w:r>
        <w:rPr>
          <w:rFonts w:eastAsia="等线" w:ascii="Arial" w:cs="Arial" w:hAnsi="Arial"/>
          <w:sz w:val="22"/>
        </w:rPr>
        <w:t xml:space="preserve"> NOT EVIDENCED</w:t>
      </w:r>
    </w:p>
    <w:p>
      <w:pPr>
        <w:numPr>
          <w:numId w:val="166"/>
        </w:numPr>
        <w:spacing w:before="120" w:after="120" w:line="288" w:lineRule="auto"/>
        <w:ind w:left="0"/>
        <w:jc w:val="left"/>
      </w:pPr>
      <w:r>
        <w:rPr>
          <w:rFonts w:eastAsia="等线" w:ascii="Arial" w:cs="Arial" w:hAnsi="Arial"/>
          <w:b w:val="true"/>
          <w:sz w:val="22"/>
        </w:rPr>
        <w:t>Risk (corrected):</w:t>
      </w:r>
      <w:r>
        <w:rPr>
          <w:rFonts w:eastAsia="等线" w:ascii="Arial" w:cs="Arial" w:hAnsi="Arial"/>
          <w:sz w:val="22"/>
        </w:rPr>
        <w:t xml:space="preserve"> Originally flagged "Item Name Override" as having no scope trace anywhere in the corpus. That was wrong — Ivan's 2026-05-04 RG notes document it directly (§8, and separately in his raw bullet notes) as "item description/name override in sales document," a genuine GST requirement. It's now formally tracked as SL-14. All three items in this supersession (SOA/SL-07, item description override/SL-14, and the aging alert) are traceable to real requirements — the remaining risk is purely the </w:t>
      </w:r>
      <w:r>
        <w:rPr>
          <w:rFonts w:eastAsia="等线" w:ascii="Arial" w:cs="Arial" w:hAnsi="Arial"/>
          <w:b w:val="true"/>
          <w:sz w:val="22"/>
        </w:rPr>
        <w:t>sequencing</w:t>
      </w:r>
      <w:r>
        <w:rPr>
          <w:rFonts w:eastAsia="等线" w:ascii="Arial" w:cs="Arial" w:hAnsi="Arial"/>
          <w:sz w:val="22"/>
        </w:rPr>
        <w:t xml:space="preserve"> one: building Phase-2-adjacent work ahead of the Phase 1 UAT gate, not a scope-provenance gap.</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8" w:id="168"/>
      <w:r>
        <w:rPr>
          <w:rFonts w:eastAsia="等线" w:ascii="Arial" w:cs="Arial" w:hAnsi="Arial"/>
          <w:b w:val="true"/>
          <w:sz w:val="32"/>
        </w:rPr>
        <w:t>8. Out-of-Scope / Explicit Exclusions (carried from v1.2, unchanged)</w:t>
      </w:r>
      <w:bookmarkEnd w:id="168"/>
    </w:p>
    <w:p>
      <w:pPr>
        <w:pStyle w:val="3"/>
        <w:spacing w:before="300" w:after="120" w:line="288" w:lineRule="auto"/>
        <w:ind w:left="0"/>
        <w:jc w:val="left"/>
        <w:outlineLvl w:val="2"/>
      </w:pPr>
      <w:bookmarkStart w:name="heading_169" w:id="169"/>
      <w:r>
        <w:rPr>
          <w:rFonts w:eastAsia="等线" w:ascii="Arial" w:cs="Arial" w:hAnsi="Arial"/>
          <w:b w:val="true"/>
          <w:sz w:val="30"/>
        </w:rPr>
        <w:t>OOS-01 — CPR/CPRN / pre-confirmation stock reservation</w:t>
      </w:r>
      <w:bookmarkEnd w:id="169"/>
    </w:p>
    <w:p>
      <w:pPr>
        <w:numPr>
          <w:numId w:val="167"/>
        </w:numPr>
        <w:spacing w:before="120" w:after="120" w:line="288" w:lineRule="auto"/>
        <w:ind w:left="0"/>
        <w:jc w:val="left"/>
      </w:pPr>
      <w:r>
        <w:rPr>
          <w:rFonts w:eastAsia="等线" w:ascii="Arial" w:cs="Arial" w:hAnsi="Arial"/>
          <w:sz w:val="22"/>
        </w:rPr>
        <w:t>Not in scope for the current build — validated during requirements gathering as not a common use case for GST</w:t>
      </w:r>
    </w:p>
    <w:p>
      <w:pPr>
        <w:numPr>
          <w:numId w:val="168"/>
        </w:numPr>
        <w:spacing w:before="120" w:after="120" w:line="288" w:lineRule="auto"/>
        <w:ind w:left="0"/>
        <w:jc w:val="left"/>
      </w:pPr>
      <w:r>
        <w:rPr>
          <w:rFonts w:eastAsia="等线" w:ascii="Arial" w:cs="Arial" w:hAnsi="Arial"/>
          <w:sz w:val="22"/>
        </w:rPr>
        <w:t>Current in-scope substitute: inventory visual cues and reserved-quantity visibility inside the normal quotation/SO/DN flow (SL-09)</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70" w:id="170"/>
      <w:r>
        <w:rPr>
          <w:rFonts w:eastAsia="等线" w:ascii="Arial" w:cs="Arial" w:hAnsi="Arial"/>
          <w:b w:val="true"/>
          <w:sz w:val="30"/>
        </w:rPr>
        <w:t>OOS-02 — GST SAP stock transformation workflow</w:t>
      </w:r>
      <w:bookmarkEnd w:id="170"/>
    </w:p>
    <w:p>
      <w:pPr>
        <w:numPr>
          <w:numId w:val="169"/>
        </w:numPr>
        <w:spacing w:before="120" w:after="120" w:line="288" w:lineRule="auto"/>
        <w:ind w:left="0"/>
        <w:jc w:val="left"/>
      </w:pPr>
      <w:r>
        <w:rPr>
          <w:rFonts w:eastAsia="等线" w:ascii="Arial" w:cs="Arial" w:hAnsi="Arial"/>
          <w:sz w:val="22"/>
        </w:rPr>
        <w:t>MAIA will not support GST's custom SAP stock-transformation workflow — it is customised in SAP and is not standard BOM</w:t>
      </w:r>
    </w:p>
    <w:p>
      <w:pPr>
        <w:numPr>
          <w:numId w:val="170"/>
        </w:numPr>
        <w:spacing w:before="120" w:after="120" w:line="288" w:lineRule="auto"/>
        <w:ind w:left="0"/>
        <w:jc w:val="left"/>
      </w:pPr>
      <w:r>
        <w:rPr>
          <w:rFonts w:eastAsia="等线" w:ascii="Arial" w:cs="Arial" w:hAnsi="Arial"/>
          <w:sz w:val="22"/>
        </w:rPr>
        <w:t>Users continue performing stock transformation in SAP; MAIA reflects latest SAP inventory quantities after scheduled sync</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71" w:id="171"/>
      <w:r>
        <w:rPr>
          <w:rFonts w:eastAsia="等线" w:ascii="Arial" w:cs="Arial" w:hAnsi="Arial"/>
          <w:b w:val="true"/>
          <w:sz w:val="30"/>
        </w:rPr>
        <w:t>OOS-03 — SAP item master / UOM reconfiguration</w:t>
      </w:r>
      <w:bookmarkEnd w:id="171"/>
    </w:p>
    <w:p>
      <w:pPr>
        <w:numPr>
          <w:numId w:val="171"/>
        </w:numPr>
        <w:spacing w:before="120" w:after="120" w:line="288" w:lineRule="auto"/>
        <w:ind w:left="0"/>
        <w:jc w:val="left"/>
      </w:pPr>
      <w:r>
        <w:rPr>
          <w:rFonts w:eastAsia="等线" w:ascii="Arial" w:cs="Arial" w:hAnsi="Arial"/>
          <w:sz w:val="22"/>
        </w:rPr>
        <w:t>MAIA will not reconfigure or change GST's item master setup</w:t>
      </w:r>
    </w:p>
    <w:p>
      <w:pPr>
        <w:numPr>
          <w:numId w:val="172"/>
        </w:numPr>
        <w:spacing w:before="120" w:after="120" w:line="288" w:lineRule="auto"/>
        <w:ind w:left="0"/>
        <w:jc w:val="left"/>
      </w:pPr>
      <w:r>
        <w:rPr>
          <w:rFonts w:eastAsia="等线" w:ascii="Arial" w:cs="Arial" w:hAnsi="Arial"/>
          <w:sz w:val="22"/>
        </w:rPr>
        <w:t>The KG vs NOS variable-weight-fish issue is an operational challenge tied to GST's current SAP item master and stock-transformation configuration, not something MAIA fixes</w:t>
      </w:r>
    </w:p>
    <w:p>
      <w:pPr>
        <w:numPr>
          <w:numId w:val="173"/>
        </w:numPr>
        <w:spacing w:before="120" w:after="120" w:line="288" w:lineRule="auto"/>
        <w:ind w:left="0"/>
        <w:jc w:val="left"/>
      </w:pPr>
      <w:r>
        <w:rPr>
          <w:rFonts w:eastAsia="等线" w:ascii="Arial" w:cs="Arial" w:hAnsi="Arial"/>
          <w:sz w:val="22"/>
        </w:rPr>
        <w:t>MAIA syncs item master data from SAP as-is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72" w:id="172"/>
      <w:r>
        <w:rPr>
          <w:rFonts w:eastAsia="等线" w:ascii="Arial" w:cs="Arial" w:hAnsi="Arial"/>
          <w:b w:val="true"/>
          <w:sz w:val="30"/>
        </w:rPr>
        <w:t>OOS-04 — Batch-number / expiry-date alerts</w:t>
      </w:r>
      <w:bookmarkEnd w:id="172"/>
    </w:p>
    <w:p>
      <w:pPr>
        <w:numPr>
          <w:numId w:val="174"/>
        </w:numPr>
        <w:spacing w:before="120" w:after="120" w:line="288" w:lineRule="auto"/>
        <w:ind w:left="0"/>
        <w:jc w:val="left"/>
      </w:pPr>
      <w:r>
        <w:rPr>
          <w:rFonts w:eastAsia="等线" w:ascii="Arial" w:cs="Arial" w:hAnsi="Arial"/>
          <w:sz w:val="22"/>
        </w:rPr>
        <w:t>MAIA will not support batch-number or expiry-date alerting in current scope, because GST does not capture batch number or expiry-related data in the required structured form</w:t>
      </w:r>
    </w:p>
    <w:p>
      <w:pPr>
        <w:numPr>
          <w:numId w:val="175"/>
        </w:numPr>
        <w:spacing w:before="120" w:after="120" w:line="288" w:lineRule="auto"/>
        <w:ind w:left="0"/>
        <w:jc w:val="left"/>
      </w:pPr>
      <w:r>
        <w:rPr>
          <w:rFonts w:eastAsia="等线" w:ascii="Arial" w:cs="Arial" w:hAnsi="Arial"/>
          <w:sz w:val="22"/>
        </w:rPr>
        <w:t>In-scope alternative: movement-based slow stock visibility and reports (SL-12)</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73" w:id="173"/>
      <w:r>
        <w:rPr>
          <w:rFonts w:eastAsia="等线" w:ascii="Arial" w:cs="Arial" w:hAnsi="Arial"/>
          <w:b w:val="true"/>
          <w:sz w:val="30"/>
        </w:rPr>
        <w:t>OOS-05 — Excel planning / purchasing calculator</w:t>
      </w:r>
      <w:bookmarkEnd w:id="173"/>
    </w:p>
    <w:p>
      <w:pPr>
        <w:numPr>
          <w:numId w:val="176"/>
        </w:numPr>
        <w:spacing w:before="120" w:after="120" w:line="288" w:lineRule="auto"/>
        <w:ind w:left="0"/>
        <w:jc w:val="left"/>
      </w:pPr>
      <w:r>
        <w:rPr>
          <w:rFonts w:eastAsia="等线" w:ascii="Arial" w:cs="Arial" w:hAnsi="Arial"/>
          <w:sz w:val="22"/>
        </w:rPr>
        <w:t>Out of scope — stakeholders in detailed requirements gathering were unsure of the direct or detailed requirements, so this cannot be safely built as a scoped item</w:t>
      </w:r>
    </w:p>
    <w:p>
      <w:pPr>
        <w:numPr>
          <w:numId w:val="177"/>
        </w:numPr>
        <w:spacing w:before="120" w:after="120" w:line="288" w:lineRule="auto"/>
        <w:ind w:left="0"/>
        <w:jc w:val="left"/>
      </w:pPr>
      <w:r>
        <w:rPr>
          <w:rFonts w:eastAsia="等线" w:ascii="Arial" w:cs="Arial" w:hAnsi="Arial"/>
          <w:sz w:val="22"/>
        </w:rPr>
        <w:t>Requires separate scoping if revived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74" w:id="174"/>
      <w:r>
        <w:rPr>
          <w:rFonts w:eastAsia="等线" w:ascii="Arial" w:cs="Arial" w:hAnsi="Arial"/>
          <w:b w:val="true"/>
          <w:sz w:val="30"/>
        </w:rPr>
        <w:t>OOS-06 — Vendor custom UDF/UDH development</w:t>
      </w:r>
      <w:bookmarkEnd w:id="174"/>
    </w:p>
    <w:p>
      <w:pPr>
        <w:numPr>
          <w:numId w:val="178"/>
        </w:numPr>
        <w:spacing w:before="120" w:after="120" w:line="288" w:lineRule="auto"/>
        <w:ind w:left="0"/>
        <w:jc w:val="left"/>
      </w:pPr>
      <w:r>
        <w:rPr>
          <w:rFonts w:eastAsia="等线" w:ascii="Arial" w:cs="Arial" w:hAnsi="Arial"/>
          <w:sz w:val="22"/>
        </w:rPr>
        <w:t>MAIA will not support custom UDF/UDH development inside vendor third-party software in base development</w:t>
      </w:r>
    </w:p>
    <w:p>
      <w:pPr>
        <w:numPr>
          <w:numId w:val="179"/>
        </w:numPr>
        <w:spacing w:before="120" w:after="120" w:line="288" w:lineRule="auto"/>
        <w:ind w:left="0"/>
        <w:jc w:val="left"/>
      </w:pPr>
      <w:r>
        <w:rPr>
          <w:rFonts w:eastAsia="等线" w:ascii="Arial" w:cs="Arial" w:hAnsi="Arial"/>
          <w:sz w:val="22"/>
        </w:rPr>
        <w:t>If a custom vendor-side UDF/UDH limitation becomes a blocker, it is raised and scoped as a separate customisation</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 xml:space="preserve">Additional exclusions independently corroborated from the wider KB corpus, consistent with v1.2's framing: full ERP replacement/SAP restructuring </w:t>
      </w:r>
      <w:r>
        <w:rPr>
          <w:rFonts w:eastAsia="Consolas" w:ascii="Consolas" w:cs="Consolas" w:hAnsi="Consolas"/>
          <w:sz w:val="22"/>
          <w:shd w:fill="EFF0F1"/>
        </w:rPr>
        <w:t>[SOW | §6]</w:t>
      </w:r>
      <w:r>
        <w:rPr>
          <w:rFonts w:eastAsia="等线" w:ascii="Arial" w:cs="Arial" w:hAnsi="Arial"/>
          <w:sz w:val="22"/>
        </w:rPr>
        <w:t xml:space="preserve">, customer-facing WhatsApp bot </w:t>
      </w:r>
      <w:r>
        <w:rPr>
          <w:rFonts w:eastAsia="Consolas" w:ascii="Consolas" w:cs="Consolas" w:hAnsi="Consolas"/>
          <w:sz w:val="22"/>
          <w:shd w:fill="EFF0F1"/>
        </w:rPr>
        <w:t>[SOW | §6]</w:t>
      </w:r>
      <w:r>
        <w:rPr>
          <w:rFonts w:eastAsia="等线" w:ascii="Arial" w:cs="Arial" w:hAnsi="Arial"/>
          <w:sz w:val="22"/>
        </w:rPr>
        <w:t xml:space="preserve">, advanced approval matrices beyond scoped </w:t>
      </w:r>
      <w:r>
        <w:rPr>
          <w:rFonts w:eastAsia="Consolas" w:ascii="Consolas" w:cs="Consolas" w:hAnsi="Consolas"/>
          <w:sz w:val="22"/>
          <w:shd w:fill="EFF0F1"/>
        </w:rPr>
        <w:t>[SOW | §6]</w:t>
      </w:r>
      <w:r>
        <w:rPr>
          <w:rFonts w:eastAsia="等线" w:ascii="Arial" w:cs="Arial" w:hAnsi="Arial"/>
          <w:sz w:val="22"/>
        </w:rPr>
        <w:t xml:space="preserve">, Penang/Langkawi branch rollout beyond the confirmed first branch (paid add-on) </w:t>
      </w:r>
      <w:r>
        <w:rPr>
          <w:rFonts w:eastAsia="Consolas" w:ascii="Consolas" w:cs="Consolas" w:hAnsi="Consolas"/>
          <w:sz w:val="22"/>
          <w:shd w:fill="EFF0F1"/>
        </w:rPr>
        <w:t>[SOW | §6]</w:t>
      </w:r>
      <w:r>
        <w:rPr>
          <w:rFonts w:eastAsia="等线" w:ascii="Arial" w:cs="Arial" w:hAnsi="Arial"/>
          <w:sz w:val="22"/>
        </w:rPr>
        <w:t xml:space="preserve">, full logistics workspace beyond reference-only delivery visibility </w:t>
      </w:r>
      <w:r>
        <w:rPr>
          <w:rFonts w:eastAsia="Consolas" w:ascii="Consolas" w:cs="Consolas" w:hAnsi="Consolas"/>
          <w:sz w:val="22"/>
          <w:shd w:fill="EFF0F1"/>
        </w:rPr>
        <w:t>[SOW | §2.1.2]</w:t>
      </w:r>
      <w:r>
        <w:rPr>
          <w:rFonts w:eastAsia="等线" w:ascii="Arial" w:cs="Arial" w:hAnsi="Arial"/>
          <w:sz w:val="22"/>
        </w:rPr>
        <w: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5" w:id="175"/>
      <w:r>
        <w:rPr>
          <w:rFonts w:eastAsia="等线" w:ascii="Arial" w:cs="Arial" w:hAnsi="Arial"/>
          <w:b w:val="true"/>
          <w:sz w:val="32"/>
        </w:rPr>
        <w:t>9. Source-Conflict Register</w:t>
      </w:r>
      <w:bookmarkEnd w:id="175"/>
    </w:p>
    <w:p>
      <w:pPr>
        <w:spacing w:before="120" w:after="120" w:line="288" w:lineRule="auto"/>
        <w:ind w:left="0"/>
        <w:jc w:val="left"/>
      </w:pPr>
      <w:r>
        <w:rPr>
          <w:rFonts w:eastAsia="等线" w:ascii="Arial" w:cs="Arial" w:hAnsi="Arial"/>
          <w:sz w:val="22"/>
        </w:rPr>
        <w:t xml:space="preserve">SC-01 through SC-06 carried from v1.2 (CPRN sold-idea vs RG validation; stock-transformation need vs MAIA capability; expiry alerts vs missing batch data; rich SAP Blanket Agreement vs MAIA capability; document generation scope vs missing samples; SAP UDF/UDH exposure vs base scope) — all still resolved as v1.2 states them. </w:t>
      </w:r>
      <w:r>
        <w:rPr>
          <w:rFonts w:eastAsia="等线" w:ascii="Arial" w:cs="Arial" w:hAnsi="Arial"/>
          <w:b w:val="true"/>
          <w:sz w:val="22"/>
        </w:rPr>
        <w:t>Addendum to SC-01</w:t>
      </w:r>
      <w:r>
        <w:rPr>
          <w:rFonts w:eastAsia="等线" w:ascii="Arial" w:cs="Arial" w:hAnsi="Arial"/>
          <w:sz w:val="22"/>
        </w:rPr>
        <w:t>: see SL-02's reconciliation note above regarding the CSV's "cRFQ Out of Scope" line — treated as terminology overlap with SL-02, not a live conflict, pending a one-line confirmation.</w:t>
      </w:r>
    </w:p>
    <w:p>
      <w:pPr>
        <w:spacing w:before="120" w:after="120" w:line="288" w:lineRule="auto"/>
        <w:ind w:left="0"/>
        <w:jc w:val="left"/>
      </w:pPr>
      <w:r>
        <w:rPr>
          <w:rFonts w:eastAsia="等线" w:ascii="Arial" w:cs="Arial" w:hAnsi="Arial"/>
          <w:b w:val="true"/>
          <w:sz w:val="22"/>
        </w:rPr>
        <w:t>SC-07 (new) — Branch decision: locked in June, reopened-looking in July.</w:t>
      </w:r>
      <w:r>
        <w:rPr>
          <w:rFonts w:eastAsia="等线" w:ascii="Arial" w:cs="Arial" w:hAnsi="Arial"/>
          <w:sz w:val="22"/>
        </w:rPr>
        <w:br/>
      </w:r>
      <w:r>
        <w:rPr>
          <w:rFonts w:eastAsia="等线" w:ascii="Arial" w:cs="Arial" w:hAnsi="Arial"/>
          <w:sz w:val="22"/>
        </w:rPr>
        <w:t xml:space="preserve">Citation A: </w:t>
      </w:r>
      <w:r>
        <w:rPr>
          <w:rFonts w:eastAsia="Consolas" w:ascii="Consolas" w:cs="Consolas" w:hAnsi="Consolas"/>
          <w:sz w:val="22"/>
          <w:shd w:fill="EFF0F1"/>
        </w:rPr>
        <w:t>[SL-v1.2 | LOC-03]</w:t>
      </w:r>
      <w:r>
        <w:rPr>
          <w:rFonts w:eastAsia="等线" w:ascii="Arial" w:cs="Arial" w:hAnsi="Arial"/>
          <w:sz w:val="22"/>
        </w:rPr>
        <w:t xml:space="preserve"> — "Phase 1 is Penang-first," status LOCKED, dated 2026-06-23.</w:t>
        <w:br/>
      </w:r>
      <w:r>
        <w:rPr>
          <w:rFonts w:eastAsia="等线" w:ascii="Arial" w:cs="Arial" w:hAnsi="Arial"/>
          <w:sz w:val="22"/>
        </w:rPr>
        <w:t xml:space="preserve">Citation B: </w:t>
      </w:r>
      <w:r>
        <w:rPr>
          <w:rFonts w:eastAsia="Consolas" w:ascii="Consolas" w:cs="Consolas" w:hAnsi="Consolas"/>
          <w:sz w:val="22"/>
          <w:shd w:fill="EFF0F1"/>
        </w:rPr>
        <w:t>[BP | M0 Pending — Critical, "confirm which branch goes live first"]</w:t>
      </w:r>
      <w:r>
        <w:rPr>
          <w:rFonts w:eastAsia="等线" w:ascii="Arial" w:cs="Arial" w:hAnsi="Arial"/>
          <w:sz w:val="22"/>
        </w:rPr>
        <w:t xml:space="preserve"> — shown as an unchecked, unresolved item as of 2026-07-07.</w:t>
        <w:br/>
      </w:r>
      <w:r>
        <w:rPr>
          <w:rFonts w:eastAsia="等线" w:ascii="Arial" w:cs="Arial" w:hAnsi="Arial"/>
          <w:b w:val="true"/>
          <w:sz w:val="22"/>
        </w:rPr>
        <w:t>Resolution: unresolved.</w:t>
      </w:r>
      <w:r>
        <w:rPr>
          <w:rFonts w:eastAsia="等线" w:ascii="Arial" w:cs="Arial" w:hAnsi="Arial"/>
          <w:sz w:val="22"/>
        </w:rPr>
        <w:t xml:space="preserve"> Two explanations are equally plausible from the evidence available: (a) the backward plan's checklist is simply stale and wasn't updated to reflect a decision already locked three weeks earlier, or (b) the branch question was genuinely reopened after 23 June and the Scope Lock was never updated to reflect that. This needs a 30-second confirmation from Gareth or Ivan, not a client conversation — it's an internal bookkeeping question first.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6" w:id="176"/>
      <w:r>
        <w:rPr>
          <w:rFonts w:eastAsia="等线" w:ascii="Arial" w:cs="Arial" w:hAnsi="Arial"/>
          <w:b w:val="true"/>
          <w:sz w:val="32"/>
        </w:rPr>
        <w:t>10. Client Confirmation Agenda</w:t>
      </w:r>
      <w:bookmarkEnd w:id="176"/>
    </w:p>
    <w:p>
      <w:pPr>
        <w:spacing w:before="120" w:after="120" w:line="288" w:lineRule="auto"/>
        <w:ind w:left="0"/>
        <w:jc w:val="left"/>
      </w:pPr>
      <w:r>
        <w:rPr>
          <w:rFonts w:eastAsia="等线" w:ascii="Arial" w:cs="Arial" w:hAnsi="Arial"/>
          <w:sz w:val="22"/>
        </w:rPr>
        <w:t>Combining v1.2's original six confirmation items with what this v2 adds:</w:t>
      </w:r>
    </w:p>
    <w:p>
      <w:pPr>
        <w:numPr>
          <w:numId w:val="180"/>
        </w:numPr>
        <w:spacing w:before="120" w:after="120" w:line="288" w:lineRule="auto"/>
        <w:ind w:left="0"/>
        <w:jc w:val="left"/>
      </w:pPr>
      <w:r>
        <w:rPr>
          <w:rFonts w:eastAsia="等线" w:ascii="Arial" w:cs="Arial" w:hAnsi="Arial"/>
          <w:sz w:val="22"/>
        </w:rPr>
        <w:t>Provide sample formats for every in-scope document type (QT, SO, DO, Invoice, CN, Pick List) — v1.2's #1, still open.</w:t>
      </w:r>
    </w:p>
    <w:p>
      <w:pPr>
        <w:numPr>
          <w:numId w:val="181"/>
        </w:numPr>
        <w:spacing w:before="120" w:after="120" w:line="288" w:lineRule="auto"/>
        <w:ind w:left="0"/>
        <w:jc w:val="left"/>
      </w:pPr>
      <w:r>
        <w:rPr>
          <w:rFonts w:eastAsia="等线" w:ascii="Arial" w:cs="Arial" w:hAnsi="Arial"/>
          <w:sz w:val="22"/>
        </w:rPr>
        <w:t>Walk through SAP Blanket Order/Blanket Agreement behaviour MAIA must match — v1.2's #2, still open.</w:t>
      </w:r>
    </w:p>
    <w:p>
      <w:pPr>
        <w:numPr>
          <w:numId w:val="182"/>
        </w:numPr>
        <w:spacing w:before="120" w:after="120" w:line="288" w:lineRule="auto"/>
        <w:ind w:left="0"/>
        <w:jc w:val="left"/>
      </w:pPr>
      <w:r>
        <w:rPr>
          <w:rFonts w:eastAsia="等线" w:ascii="Arial" w:cs="Arial" w:hAnsi="Arial"/>
          <w:sz w:val="22"/>
        </w:rPr>
        <w:t>Confirm acceptable SAP ↔ MAIA inventory sync cadence — v1.2's #3, still open.</w:t>
      </w:r>
    </w:p>
    <w:p>
      <w:pPr>
        <w:numPr>
          <w:numId w:val="183"/>
        </w:numPr>
        <w:spacing w:before="120" w:after="120" w:line="288" w:lineRule="auto"/>
        <w:ind w:left="0"/>
        <w:jc w:val="left"/>
      </w:pPr>
      <w:r>
        <w:rPr>
          <w:rFonts w:eastAsia="等线" w:ascii="Arial" w:cs="Arial" w:hAnsi="Arial"/>
          <w:sz w:val="22"/>
        </w:rPr>
        <w:t>Confirm slow-moving stock definition (item category / days without movement) — v1.2's #4, still open.</w:t>
      </w:r>
    </w:p>
    <w:p>
      <w:pPr>
        <w:numPr>
          <w:numId w:val="184"/>
        </w:numPr>
        <w:spacing w:before="120" w:after="120" w:line="288" w:lineRule="auto"/>
        <w:ind w:left="0"/>
        <w:jc w:val="left"/>
      </w:pPr>
      <w:r>
        <w:rPr>
          <w:rFonts w:eastAsia="等线" w:ascii="Arial" w:cs="Arial" w:hAnsi="Arial"/>
          <w:sz w:val="22"/>
        </w:rPr>
        <w:t>Confirm SOA link settings (validity, password method, revocation, exposed document types) — v1.2's #5, still open.</w:t>
      </w:r>
    </w:p>
    <w:p>
      <w:pPr>
        <w:numPr>
          <w:numId w:val="185"/>
        </w:numPr>
        <w:spacing w:before="120" w:after="120" w:line="288" w:lineRule="auto"/>
        <w:ind w:left="0"/>
        <w:jc w:val="left"/>
      </w:pPr>
      <w:r>
        <w:rPr>
          <w:rFonts w:eastAsia="等线" w:ascii="Arial" w:cs="Arial" w:hAnsi="Arial"/>
          <w:sz w:val="22"/>
        </w:rPr>
        <w:t>Confirm which user roles can generate/revoke SOA links, retrieve invoices, create documents, create payment entries — v1.2's #6, still open.</w:t>
      </w:r>
    </w:p>
    <w:p>
      <w:pPr>
        <w:numPr>
          <w:numId w:val="186"/>
        </w:numPr>
        <w:spacing w:before="120" w:after="120" w:line="288" w:lineRule="auto"/>
        <w:ind w:left="0"/>
        <w:jc w:val="left"/>
      </w:pPr>
      <w:r>
        <w:rPr>
          <w:rFonts w:eastAsia="等线" w:ascii="Arial" w:cs="Arial" w:hAnsi="Arial"/>
          <w:b w:val="true"/>
          <w:sz w:val="22"/>
        </w:rPr>
        <w:t>(new)</w:t>
      </w:r>
      <w:r>
        <w:rPr>
          <w:rFonts w:eastAsia="等线" w:ascii="Arial" w:cs="Arial" w:hAnsi="Arial"/>
          <w:sz w:val="22"/>
        </w:rPr>
        <w:t xml:space="preserve"> Confirm the authoritative stock source for Phase 1 business-rule checks: SAP live, daily extract, or hybrid.</w:t>
      </w:r>
    </w:p>
    <w:p>
      <w:pPr>
        <w:numPr>
          <w:numId w:val="187"/>
        </w:numPr>
        <w:spacing w:before="120" w:after="120" w:line="288" w:lineRule="auto"/>
        <w:ind w:left="0"/>
        <w:jc w:val="left"/>
      </w:pPr>
      <w:r>
        <w:rPr>
          <w:rFonts w:eastAsia="等线" w:ascii="Arial" w:cs="Arial" w:hAnsi="Arial"/>
          <w:b w:val="true"/>
          <w:sz w:val="22"/>
        </w:rPr>
        <w:t>(new)</w:t>
      </w:r>
      <w:r>
        <w:rPr>
          <w:rFonts w:eastAsia="等线" w:ascii="Arial" w:cs="Arial" w:hAnsi="Arial"/>
          <w:sz w:val="22"/>
        </w:rPr>
        <w:t xml:space="preserve"> Reconfirm Penang as the first branch — or flag if this has changed since 23 June.</w:t>
      </w:r>
    </w:p>
    <w:p>
      <w:pPr>
        <w:numPr>
          <w:numId w:val="188"/>
        </w:numPr>
        <w:spacing w:before="120" w:after="120" w:line="288" w:lineRule="auto"/>
        <w:ind w:left="0"/>
        <w:jc w:val="left"/>
      </w:pPr>
      <w:r>
        <w:rPr>
          <w:rFonts w:eastAsia="等线" w:ascii="Arial" w:cs="Arial" w:hAnsi="Arial"/>
          <w:b w:val="true"/>
          <w:sz w:val="22"/>
        </w:rPr>
        <w:t>(new)</w:t>
      </w:r>
      <w:r>
        <w:rPr>
          <w:rFonts w:eastAsia="等线" w:ascii="Arial" w:cs="Arial" w:hAnsi="Arial"/>
          <w:sz w:val="22"/>
        </w:rPr>
        <w:t xml:space="preserve"> Close the loop on the sales check-in/customer-visit-location request: is this declined, deferred to a named future phase, or should it be quoted as a change request?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7" w:id="177"/>
      <w:r>
        <w:rPr>
          <w:rFonts w:eastAsia="等线" w:ascii="Arial" w:cs="Arial" w:hAnsi="Arial"/>
          <w:b w:val="true"/>
          <w:sz w:val="32"/>
        </w:rPr>
        <w:t>11. Bottom Line</w:t>
      </w:r>
      <w:bookmarkEnd w:id="177"/>
    </w:p>
    <w:p>
      <w:pPr>
        <w:spacing w:before="120" w:after="120" w:line="288" w:lineRule="auto"/>
        <w:ind w:left="0"/>
        <w:jc w:val="left"/>
      </w:pPr>
      <w:r>
        <w:rPr>
          <w:rFonts w:eastAsia="等线" w:ascii="Arial" w:cs="Arial" w:hAnsi="Arial"/>
          <w:sz w:val="22"/>
        </w:rPr>
        <w:t>The core of what's LOCKED here is stable and was already correctly and thoroughly reasoned through in v1.2 — MAIA is a coordination/workflow layer over SAP, not a replacement, and explicitly does not attempt to model GST's stock-transformation reality (it syncs the result); CPRN, batch/expiry alerting, and Excel planning tooling were all deliberately cut after being raised, not overlooked. That discipline should be preserved, not re-litigated.</w:t>
      </w:r>
    </w:p>
    <w:p>
      <w:pPr>
        <w:spacing w:before="120" w:after="120" w:line="288" w:lineRule="auto"/>
        <w:ind w:left="0"/>
        <w:jc w:val="left"/>
      </w:pPr>
      <w:r>
        <w:rPr>
          <w:rFonts w:eastAsia="等线" w:ascii="Arial" w:cs="Arial" w:hAnsi="Arial"/>
          <w:sz w:val="22"/>
        </w:rPr>
        <w:t xml:space="preserve">What's changed since 23 June is entirely on the delivery-execution side, not the scope-definition side: two genuine blocking gates (stock source of truth, and now a reopened-looking branch decision) remain unresolved three weeks into active build, and three Phase-2-adjacent items are showing up "In Progress" in the July calendar without a visible trace back to client agreement or, in one case ("Item Name Override"), to any documented requirement at all. None of this is a scope-definition failure — it's a </w:t>
      </w:r>
      <w:r>
        <w:rPr>
          <w:rFonts w:eastAsia="等线" w:ascii="Arial" w:cs="Arial" w:hAnsi="Arial"/>
          <w:b w:val="true"/>
          <w:sz w:val="22"/>
        </w:rPr>
        <w:t>scope-discipline</w:t>
      </w:r>
      <w:r>
        <w:rPr>
          <w:rFonts w:eastAsia="等线" w:ascii="Arial" w:cs="Arial" w:hAnsi="Arial"/>
          <w:sz w:val="22"/>
        </w:rPr>
        <w:t xml:space="preserve"> failure: the team defined things well in June and then let July's calendar quietly get ahead of what was actually confirmed. Recommend closing NSD-06 and SC-07 this week, and getting Gareth to trace "Item Name Override" before it reaches UAT.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8" w:id="178"/>
      <w:r>
        <w:rPr>
          <w:rFonts w:eastAsia="等线" w:ascii="Arial" w:cs="Arial" w:hAnsi="Arial"/>
          <w:b w:val="true"/>
          <w:sz w:val="32"/>
        </w:rPr>
        <w:t>See Also</w:t>
      </w:r>
      <w:bookmarkEnd w:id="178"/>
    </w:p>
    <w:p>
      <w:pPr>
        <w:numPr>
          <w:numId w:val="189"/>
        </w:numPr>
        <w:spacing w:before="120" w:after="120" w:line="288" w:lineRule="auto"/>
        <w:ind w:left="0"/>
        <w:jc w:val="left"/>
      </w:pPr>
      <w:r>
        <w:rPr>
          <w:rFonts w:eastAsia="等线" w:ascii="Arial" w:cs="Arial" w:hAnsi="Arial"/>
          <w:sz w:val="22"/>
        </w:rPr>
        <w:t>[[GST Fine Foods Customer Narrative]]</w:t>
      </w:r>
    </w:p>
    <w:p>
      <w:pPr>
        <w:numPr>
          <w:numId w:val="190"/>
        </w:numPr>
        <w:spacing w:before="120" w:after="120" w:line="288" w:lineRule="auto"/>
        <w:ind w:left="0"/>
        <w:jc w:val="left"/>
      </w:pPr>
      <w:r>
        <w:rPr>
          <w:rFonts w:eastAsia="等线" w:ascii="Arial" w:cs="Arial" w:hAnsi="Arial"/>
          <w:sz w:val="22"/>
        </w:rPr>
        <w:t>[[SOW for MAIA GST Fine Foods]]</w:t>
      </w:r>
    </w:p>
    <w:p>
      <w:pPr>
        <w:numPr>
          <w:numId w:val="191"/>
        </w:numPr>
        <w:spacing w:before="120" w:after="120" w:line="288" w:lineRule="auto"/>
        <w:ind w:left="0"/>
        <w:jc w:val="left"/>
      </w:pPr>
      <w:r>
        <w:rPr>
          <w:rFonts w:eastAsia="等线" w:ascii="Arial" w:cs="Arial" w:hAnsi="Arial"/>
          <w:sz w:val="22"/>
        </w:rPr>
        <w:t>[[GST Fine Foods × MAIA Proposal v2 [SIGNED]]]</w:t>
      </w:r>
    </w:p>
    <w:p>
      <w:pPr>
        <w:numPr>
          <w:numId w:val="192"/>
        </w:numPr>
        <w:spacing w:before="120" w:after="120" w:line="288" w:lineRule="auto"/>
        <w:ind w:left="0"/>
        <w:jc w:val="left"/>
      </w:pPr>
      <w:r>
        <w:rPr>
          <w:rFonts w:eastAsia="等线" w:ascii="Arial" w:cs="Arial" w:hAnsi="Arial"/>
          <w:sz w:val="22"/>
        </w:rPr>
        <w:t>[[Requirement Gathering Output - GST Fine Foods - 2026-05]]</w:t>
      </w:r>
    </w:p>
    <w:p>
      <w:pPr>
        <w:numPr>
          <w:numId w:val="193"/>
        </w:numPr>
        <w:spacing w:before="120" w:after="120" w:line="288" w:lineRule="auto"/>
        <w:ind w:left="0"/>
        <w:jc w:val="left"/>
      </w:pPr>
      <w:r>
        <w:rPr>
          <w:rFonts w:eastAsia="等线" w:ascii="Arial" w:cs="Arial" w:hAnsi="Arial"/>
          <w:sz w:val="22"/>
        </w:rPr>
        <w:t>[[GST Fine Foods — GTM Brief Context and Unclear Items]]</w:t>
      </w:r>
    </w:p>
    <w:p>
      <w:pPr>
        <w:numPr>
          <w:numId w:val="194"/>
        </w:numPr>
        <w:spacing w:before="120" w:after="120" w:line="288" w:lineRule="auto"/>
        <w:ind w:left="0"/>
        <w:jc w:val="left"/>
      </w:pPr>
      <w:r>
        <w:rPr>
          <w:rFonts w:eastAsia="等线" w:ascii="Arial" w:cs="Arial" w:hAnsi="Arial"/>
          <w:sz w:val="22"/>
        </w:rPr>
        <w:t>[[GST SAP Vendor × Mindhive — Meeting Notes]]</w:t>
      </w:r>
    </w:p>
    <w:p>
      <w:pPr>
        <w:numPr>
          <w:numId w:val="195"/>
        </w:numPr>
        <w:spacing w:before="120" w:after="120" w:line="288" w:lineRule="auto"/>
        <w:ind w:left="0"/>
        <w:jc w:val="left"/>
      </w:pPr>
      <w:r>
        <w:rPr>
          <w:rFonts w:eastAsia="等线" w:ascii="Arial" w:cs="Arial" w:hAnsi="Arial"/>
          <w:sz w:val="22"/>
        </w:rPr>
        <w:t>[[Timeline/GST Phase 1 Backward Plan]]</w:t>
      </w:r>
    </w:p>
    <w:p>
      <w:pPr>
        <w:numPr>
          <w:numId w:val="196"/>
        </w:numPr>
        <w:spacing w:before="120" w:after="120" w:line="288" w:lineRule="auto"/>
        <w:ind w:left="0"/>
        <w:jc w:val="left"/>
      </w:pPr>
      <w:r>
        <w:rPr>
          <w:rFonts w:eastAsia="等线" w:ascii="Arial" w:cs="Arial" w:hAnsi="Arial"/>
          <w:sz w:val="22"/>
        </w:rPr>
        <w:t xml:space="preserve">Scope Lock v1.2 (Lark) — </w:t>
      </w:r>
      <w:hyperlink r:id="rId5">
        <w:r>
          <w:rPr>
            <w:rFonts w:eastAsia="等线" w:ascii="Arial" w:cs="Arial" w:hAnsi="Arial"/>
            <w:color w:val="3370ff"/>
            <w:sz w:val="22"/>
          </w:rPr>
          <w:t>https://eg69120xnei.sg.larksuite.com/wiki/TYNQwno6ai7bSDktYAelAjhSg0d</w:t>
        </w:r>
      </w:hyperlink>
    </w:p>
    <w:p>
      <w:pPr>
        <w:numPr>
          <w:numId w:val="197"/>
        </w:numPr>
        <w:spacing w:before="120" w:after="120" w:line="288" w:lineRule="auto"/>
        <w:ind w:left="0"/>
        <w:jc w:val="left"/>
      </w:pPr>
      <w:r>
        <w:rPr>
          <w:rFonts w:eastAsia="等线" w:ascii="Arial" w:cs="Arial" w:hAnsi="Arial"/>
          <w:sz w:val="22"/>
        </w:rPr>
        <w:t xml:space="preserve">GST Forensic Account Dossier (Lark) — </w:t>
      </w:r>
      <w:hyperlink r:id="rId6">
        <w:r>
          <w:rPr>
            <w:rFonts w:eastAsia="等线" w:ascii="Arial" w:cs="Arial" w:hAnsi="Arial"/>
            <w:color w:val="3370ff"/>
            <w:sz w:val="22"/>
          </w:rPr>
          <w:t>https://eg69120xnei.sg.larksuite.com/wiki/FkB4wT0pNihTe1k890DlnaJjgke</w:t>
        </w:r>
      </w:hyperlink>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95122">
    <w:lvl>
      <w:start w:val="1"/>
      <w:numFmt w:val="decimal"/>
      <w:suff w:val="tab"/>
      <w:lvlText w:val="%1."/>
      <w:rPr>
        <w:color w:val="3370ff"/>
      </w:rPr>
    </w:lvl>
  </w:abstractNum>
  <w:abstractNum w:abstractNumId="395123">
    <w:lvl>
      <w:start w:val="2"/>
      <w:numFmt w:val="decimal"/>
      <w:suff w:val="tab"/>
      <w:lvlText w:val="%1."/>
      <w:rPr>
        <w:color w:val="3370ff"/>
      </w:rPr>
    </w:lvl>
  </w:abstractNum>
  <w:abstractNum w:abstractNumId="395124">
    <w:lvl>
      <w:start w:val="3"/>
      <w:numFmt w:val="decimal"/>
      <w:suff w:val="tab"/>
      <w:lvlText w:val="%1."/>
      <w:rPr>
        <w:color w:val="3370ff"/>
      </w:rPr>
    </w:lvl>
  </w:abstractNum>
  <w:abstractNum w:abstractNumId="395125">
    <w:lvl>
      <w:start w:val="4"/>
      <w:numFmt w:val="decimal"/>
      <w:suff w:val="tab"/>
      <w:lvlText w:val="%1."/>
      <w:rPr>
        <w:color w:val="3370ff"/>
      </w:rPr>
    </w:lvl>
  </w:abstractNum>
  <w:abstractNum w:abstractNumId="395126">
    <w:lvl>
      <w:start w:val="5"/>
      <w:numFmt w:val="decimal"/>
      <w:suff w:val="tab"/>
      <w:lvlText w:val="%1."/>
      <w:rPr>
        <w:color w:val="3370ff"/>
      </w:rPr>
    </w:lvl>
  </w:abstractNum>
  <w:abstractNum w:abstractNumId="395127">
    <w:lvl>
      <w:start w:val="1"/>
      <w:numFmt w:val="decimal"/>
      <w:suff w:val="tab"/>
      <w:lvlText w:val="%1."/>
      <w:rPr>
        <w:color w:val="3370ff"/>
      </w:rPr>
    </w:lvl>
  </w:abstractNum>
  <w:abstractNum w:abstractNumId="395128">
    <w:lvl>
      <w:start w:val="2"/>
      <w:numFmt w:val="decimal"/>
      <w:suff w:val="tab"/>
      <w:lvlText w:val="%1."/>
      <w:rPr>
        <w:color w:val="3370ff"/>
      </w:rPr>
    </w:lvl>
  </w:abstractNum>
  <w:abstractNum w:abstractNumId="395129">
    <w:lvl>
      <w:start w:val="3"/>
      <w:numFmt w:val="decimal"/>
      <w:suff w:val="tab"/>
      <w:lvlText w:val="%1."/>
      <w:rPr>
        <w:color w:val="3370ff"/>
      </w:rPr>
    </w:lvl>
  </w:abstractNum>
  <w:abstractNum w:abstractNumId="395130">
    <w:lvl>
      <w:start w:val="4"/>
      <w:numFmt w:val="decimal"/>
      <w:suff w:val="tab"/>
      <w:lvlText w:val="%1."/>
      <w:rPr>
        <w:color w:val="3370ff"/>
      </w:rPr>
    </w:lvl>
  </w:abstractNum>
  <w:abstractNum w:abstractNumId="395131">
    <w:lvl>
      <w:start w:val="5"/>
      <w:numFmt w:val="decimal"/>
      <w:suff w:val="tab"/>
      <w:lvlText w:val="%1."/>
      <w:rPr>
        <w:color w:val="3370ff"/>
      </w:rPr>
    </w:lvl>
  </w:abstractNum>
  <w:abstractNum w:abstractNumId="395132">
    <w:lvl>
      <w:start w:val="6"/>
      <w:numFmt w:val="decimal"/>
      <w:suff w:val="tab"/>
      <w:lvlText w:val="%1."/>
      <w:rPr>
        <w:color w:val="3370ff"/>
      </w:rPr>
    </w:lvl>
  </w:abstractNum>
  <w:abstractNum w:abstractNumId="395133">
    <w:lvl>
      <w:numFmt w:val="bullet"/>
      <w:suff w:val="tab"/>
      <w:lvlText w:val="•"/>
      <w:rPr>
        <w:color w:val="3370ff"/>
      </w:rPr>
    </w:lvl>
  </w:abstractNum>
  <w:abstractNum w:abstractNumId="395134">
    <w:lvl>
      <w:numFmt w:val="bullet"/>
      <w:suff w:val="tab"/>
      <w:lvlText w:val="•"/>
      <w:rPr>
        <w:color w:val="3370ff"/>
      </w:rPr>
    </w:lvl>
  </w:abstractNum>
  <w:abstractNum w:abstractNumId="395135">
    <w:lvl>
      <w:numFmt w:val="bullet"/>
      <w:suff w:val="tab"/>
      <w:lvlText w:val="•"/>
      <w:rPr>
        <w:color w:val="3370ff"/>
      </w:rPr>
    </w:lvl>
  </w:abstractNum>
  <w:abstractNum w:abstractNumId="395136">
    <w:lvl>
      <w:numFmt w:val="bullet"/>
      <w:suff w:val="tab"/>
      <w:lvlText w:val="•"/>
      <w:rPr>
        <w:color w:val="3370ff"/>
      </w:rPr>
    </w:lvl>
  </w:abstractNum>
  <w:abstractNum w:abstractNumId="395137">
    <w:lvl>
      <w:numFmt w:val="bullet"/>
      <w:suff w:val="tab"/>
      <w:lvlText w:val="•"/>
      <w:rPr>
        <w:color w:val="3370ff"/>
      </w:rPr>
    </w:lvl>
  </w:abstractNum>
  <w:abstractNum w:abstractNumId="395138">
    <w:lvl>
      <w:numFmt w:val="bullet"/>
      <w:suff w:val="tab"/>
      <w:lvlText w:val="•"/>
      <w:rPr>
        <w:color w:val="3370ff"/>
      </w:rPr>
    </w:lvl>
  </w:abstractNum>
  <w:abstractNum w:abstractNumId="395139">
    <w:lvl>
      <w:numFmt w:val="bullet"/>
      <w:suff w:val="tab"/>
      <w:lvlText w:val="•"/>
      <w:rPr>
        <w:color w:val="3370ff"/>
      </w:rPr>
    </w:lvl>
  </w:abstractNum>
  <w:abstractNum w:abstractNumId="395140">
    <w:lvl>
      <w:numFmt w:val="bullet"/>
      <w:suff w:val="tab"/>
      <w:lvlText w:val="•"/>
      <w:rPr>
        <w:color w:val="3370ff"/>
      </w:rPr>
    </w:lvl>
  </w:abstractNum>
  <w:abstractNum w:abstractNumId="395141">
    <w:lvl>
      <w:numFmt w:val="bullet"/>
      <w:suff w:val="tab"/>
      <w:lvlText w:val="•"/>
      <w:rPr>
        <w:color w:val="3370ff"/>
      </w:rPr>
    </w:lvl>
  </w:abstractNum>
  <w:abstractNum w:abstractNumId="395142">
    <w:lvl>
      <w:numFmt w:val="bullet"/>
      <w:suff w:val="tab"/>
      <w:lvlText w:val="•"/>
      <w:rPr>
        <w:color w:val="3370ff"/>
      </w:rPr>
    </w:lvl>
  </w:abstractNum>
  <w:abstractNum w:abstractNumId="395143">
    <w:lvl>
      <w:numFmt w:val="bullet"/>
      <w:suff w:val="tab"/>
      <w:lvlText w:val="•"/>
      <w:rPr>
        <w:color w:val="3370ff"/>
      </w:rPr>
    </w:lvl>
  </w:abstractNum>
  <w:abstractNum w:abstractNumId="395144">
    <w:lvl>
      <w:numFmt w:val="bullet"/>
      <w:suff w:val="tab"/>
      <w:lvlText w:val="•"/>
      <w:rPr>
        <w:color w:val="3370ff"/>
      </w:rPr>
    </w:lvl>
  </w:abstractNum>
  <w:abstractNum w:abstractNumId="395145">
    <w:lvl>
      <w:numFmt w:val="bullet"/>
      <w:suff w:val="tab"/>
      <w:lvlText w:val="•"/>
      <w:rPr>
        <w:color w:val="3370ff"/>
      </w:rPr>
    </w:lvl>
  </w:abstractNum>
  <w:abstractNum w:abstractNumId="395146">
    <w:lvl>
      <w:numFmt w:val="bullet"/>
      <w:suff w:val="tab"/>
      <w:lvlText w:val="•"/>
      <w:rPr>
        <w:color w:val="3370ff"/>
      </w:rPr>
    </w:lvl>
  </w:abstractNum>
  <w:abstractNum w:abstractNumId="395147">
    <w:lvl>
      <w:numFmt w:val="bullet"/>
      <w:suff w:val="tab"/>
      <w:lvlText w:val="•"/>
      <w:rPr>
        <w:color w:val="3370ff"/>
      </w:rPr>
    </w:lvl>
  </w:abstractNum>
  <w:abstractNum w:abstractNumId="395148">
    <w:lvl>
      <w:numFmt w:val="bullet"/>
      <w:suff w:val="tab"/>
      <w:lvlText w:val="•"/>
      <w:rPr>
        <w:color w:val="3370ff"/>
      </w:rPr>
    </w:lvl>
  </w:abstractNum>
  <w:abstractNum w:abstractNumId="395149">
    <w:lvl>
      <w:numFmt w:val="bullet"/>
      <w:suff w:val="tab"/>
      <w:lvlText w:val="•"/>
      <w:rPr>
        <w:color w:val="3370ff"/>
      </w:rPr>
    </w:lvl>
  </w:abstractNum>
  <w:abstractNum w:abstractNumId="395150">
    <w:lvl>
      <w:numFmt w:val="bullet"/>
      <w:suff w:val="tab"/>
      <w:lvlText w:val="•"/>
      <w:rPr>
        <w:color w:val="3370ff"/>
      </w:rPr>
    </w:lvl>
  </w:abstractNum>
  <w:abstractNum w:abstractNumId="395151">
    <w:lvl>
      <w:numFmt w:val="bullet"/>
      <w:suff w:val="tab"/>
      <w:lvlText w:val="•"/>
      <w:rPr>
        <w:color w:val="3370ff"/>
      </w:rPr>
    </w:lvl>
  </w:abstractNum>
  <w:abstractNum w:abstractNumId="395152">
    <w:lvl>
      <w:numFmt w:val="bullet"/>
      <w:suff w:val="tab"/>
      <w:lvlText w:val="•"/>
      <w:rPr>
        <w:color w:val="3370ff"/>
      </w:rPr>
    </w:lvl>
  </w:abstractNum>
  <w:abstractNum w:abstractNumId="395153">
    <w:lvl>
      <w:numFmt w:val="bullet"/>
      <w:suff w:val="tab"/>
      <w:lvlText w:val="•"/>
      <w:rPr>
        <w:color w:val="3370ff"/>
      </w:rPr>
    </w:lvl>
  </w:abstractNum>
  <w:abstractNum w:abstractNumId="395154">
    <w:lvl>
      <w:numFmt w:val="bullet"/>
      <w:suff w:val="tab"/>
      <w:lvlText w:val="•"/>
      <w:rPr>
        <w:color w:val="3370ff"/>
      </w:rPr>
    </w:lvl>
  </w:abstractNum>
  <w:abstractNum w:abstractNumId="395155">
    <w:lvl>
      <w:numFmt w:val="bullet"/>
      <w:suff w:val="tab"/>
      <w:lvlText w:val="•"/>
      <w:rPr>
        <w:color w:val="3370ff"/>
      </w:rPr>
    </w:lvl>
  </w:abstractNum>
  <w:abstractNum w:abstractNumId="395156">
    <w:lvl>
      <w:numFmt w:val="bullet"/>
      <w:suff w:val="tab"/>
      <w:lvlText w:val="•"/>
      <w:rPr>
        <w:color w:val="3370ff"/>
      </w:rPr>
    </w:lvl>
  </w:abstractNum>
  <w:abstractNum w:abstractNumId="395157">
    <w:lvl>
      <w:numFmt w:val="bullet"/>
      <w:suff w:val="tab"/>
      <w:lvlText w:val="•"/>
      <w:rPr>
        <w:color w:val="3370ff"/>
      </w:rPr>
    </w:lvl>
  </w:abstractNum>
  <w:abstractNum w:abstractNumId="395158">
    <w:lvl>
      <w:numFmt w:val="bullet"/>
      <w:suff w:val="tab"/>
      <w:lvlText w:val="•"/>
      <w:rPr>
        <w:color w:val="3370ff"/>
      </w:rPr>
    </w:lvl>
  </w:abstractNum>
  <w:abstractNum w:abstractNumId="395159">
    <w:lvl>
      <w:numFmt w:val="bullet"/>
      <w:suff w:val="tab"/>
      <w:lvlText w:val="•"/>
      <w:rPr>
        <w:color w:val="3370ff"/>
      </w:rPr>
    </w:lvl>
  </w:abstractNum>
  <w:abstractNum w:abstractNumId="395160">
    <w:lvl>
      <w:numFmt w:val="bullet"/>
      <w:suff w:val="tab"/>
      <w:lvlText w:val="•"/>
      <w:rPr>
        <w:color w:val="3370ff"/>
      </w:rPr>
    </w:lvl>
  </w:abstractNum>
  <w:abstractNum w:abstractNumId="395161">
    <w:lvl>
      <w:numFmt w:val="bullet"/>
      <w:suff w:val="tab"/>
      <w:lvlText w:val="•"/>
      <w:rPr>
        <w:color w:val="3370ff"/>
      </w:rPr>
    </w:lvl>
  </w:abstractNum>
  <w:abstractNum w:abstractNumId="395162">
    <w:lvl>
      <w:numFmt w:val="bullet"/>
      <w:suff w:val="tab"/>
      <w:lvlText w:val="•"/>
      <w:rPr>
        <w:color w:val="3370ff"/>
      </w:rPr>
    </w:lvl>
  </w:abstractNum>
  <w:abstractNum w:abstractNumId="395163">
    <w:lvl>
      <w:numFmt w:val="bullet"/>
      <w:suff w:val="tab"/>
      <w:lvlText w:val="•"/>
      <w:rPr>
        <w:color w:val="3370ff"/>
      </w:rPr>
    </w:lvl>
  </w:abstractNum>
  <w:abstractNum w:abstractNumId="395164">
    <w:lvl>
      <w:numFmt w:val="bullet"/>
      <w:suff w:val="tab"/>
      <w:lvlText w:val="•"/>
      <w:rPr>
        <w:color w:val="3370ff"/>
      </w:rPr>
    </w:lvl>
  </w:abstractNum>
  <w:abstractNum w:abstractNumId="395165">
    <w:lvl>
      <w:numFmt w:val="bullet"/>
      <w:suff w:val="tab"/>
      <w:lvlText w:val="•"/>
      <w:rPr>
        <w:color w:val="3370ff"/>
      </w:rPr>
    </w:lvl>
  </w:abstractNum>
  <w:abstractNum w:abstractNumId="395166">
    <w:lvl>
      <w:numFmt w:val="bullet"/>
      <w:suff w:val="tab"/>
      <w:lvlText w:val="•"/>
      <w:rPr>
        <w:color w:val="3370ff"/>
      </w:rPr>
    </w:lvl>
  </w:abstractNum>
  <w:abstractNum w:abstractNumId="395167">
    <w:lvl>
      <w:numFmt w:val="bullet"/>
      <w:suff w:val="tab"/>
      <w:lvlText w:val="•"/>
      <w:rPr>
        <w:color w:val="3370ff"/>
      </w:rPr>
    </w:lvl>
  </w:abstractNum>
  <w:abstractNum w:abstractNumId="395168">
    <w:lvl>
      <w:numFmt w:val="bullet"/>
      <w:suff w:val="tab"/>
      <w:lvlText w:val="•"/>
      <w:rPr>
        <w:color w:val="3370ff"/>
      </w:rPr>
    </w:lvl>
  </w:abstractNum>
  <w:abstractNum w:abstractNumId="395169">
    <w:lvl>
      <w:numFmt w:val="bullet"/>
      <w:suff w:val="tab"/>
      <w:lvlText w:val="•"/>
      <w:rPr>
        <w:color w:val="3370ff"/>
      </w:rPr>
    </w:lvl>
  </w:abstractNum>
  <w:abstractNum w:abstractNumId="395170">
    <w:lvl>
      <w:numFmt w:val="bullet"/>
      <w:suff w:val="tab"/>
      <w:lvlText w:val="•"/>
      <w:rPr>
        <w:color w:val="3370ff"/>
      </w:rPr>
    </w:lvl>
  </w:abstractNum>
  <w:abstractNum w:abstractNumId="395171">
    <w:lvl>
      <w:numFmt w:val="bullet"/>
      <w:suff w:val="tab"/>
      <w:lvlText w:val="•"/>
      <w:rPr>
        <w:color w:val="3370ff"/>
      </w:rPr>
    </w:lvl>
  </w:abstractNum>
  <w:abstractNum w:abstractNumId="395172">
    <w:lvl>
      <w:numFmt w:val="bullet"/>
      <w:suff w:val="tab"/>
      <w:lvlText w:val="•"/>
      <w:rPr>
        <w:color w:val="3370ff"/>
      </w:rPr>
    </w:lvl>
  </w:abstractNum>
  <w:abstractNum w:abstractNumId="395173">
    <w:lvl>
      <w:numFmt w:val="bullet"/>
      <w:suff w:val="tab"/>
      <w:lvlText w:val="•"/>
      <w:rPr>
        <w:color w:val="3370ff"/>
      </w:rPr>
    </w:lvl>
  </w:abstractNum>
  <w:abstractNum w:abstractNumId="395174">
    <w:lvl>
      <w:numFmt w:val="bullet"/>
      <w:suff w:val="tab"/>
      <w:lvlText w:val="•"/>
      <w:rPr>
        <w:color w:val="3370ff"/>
      </w:rPr>
    </w:lvl>
  </w:abstractNum>
  <w:abstractNum w:abstractNumId="395175">
    <w:lvl>
      <w:numFmt w:val="bullet"/>
      <w:suff w:val="tab"/>
      <w:lvlText w:val="•"/>
      <w:rPr>
        <w:color w:val="3370ff"/>
      </w:rPr>
    </w:lvl>
  </w:abstractNum>
  <w:abstractNum w:abstractNumId="395176">
    <w:lvl>
      <w:numFmt w:val="bullet"/>
      <w:suff w:val="tab"/>
      <w:lvlText w:val="•"/>
      <w:rPr>
        <w:color w:val="3370ff"/>
      </w:rPr>
    </w:lvl>
  </w:abstractNum>
  <w:abstractNum w:abstractNumId="395177">
    <w:lvl>
      <w:numFmt w:val="bullet"/>
      <w:suff w:val="tab"/>
      <w:lvlText w:val="•"/>
      <w:rPr>
        <w:color w:val="3370ff"/>
      </w:rPr>
    </w:lvl>
  </w:abstractNum>
  <w:abstractNum w:abstractNumId="395178">
    <w:lvl>
      <w:numFmt w:val="bullet"/>
      <w:suff w:val="tab"/>
      <w:lvlText w:val="•"/>
      <w:rPr>
        <w:color w:val="3370ff"/>
      </w:rPr>
    </w:lvl>
  </w:abstractNum>
  <w:abstractNum w:abstractNumId="395179">
    <w:lvl>
      <w:numFmt w:val="bullet"/>
      <w:suff w:val="tab"/>
      <w:lvlText w:val="•"/>
      <w:rPr>
        <w:color w:val="3370ff"/>
      </w:rPr>
    </w:lvl>
  </w:abstractNum>
  <w:abstractNum w:abstractNumId="395180">
    <w:lvl>
      <w:numFmt w:val="bullet"/>
      <w:suff w:val="tab"/>
      <w:lvlText w:val="•"/>
      <w:rPr>
        <w:color w:val="3370ff"/>
      </w:rPr>
    </w:lvl>
  </w:abstractNum>
  <w:abstractNum w:abstractNumId="395181">
    <w:lvl>
      <w:numFmt w:val="bullet"/>
      <w:suff w:val="tab"/>
      <w:lvlText w:val="•"/>
      <w:rPr>
        <w:color w:val="3370ff"/>
      </w:rPr>
    </w:lvl>
  </w:abstractNum>
  <w:abstractNum w:abstractNumId="395182">
    <w:lvl>
      <w:numFmt w:val="bullet"/>
      <w:suff w:val="tab"/>
      <w:lvlText w:val="•"/>
      <w:rPr>
        <w:color w:val="3370ff"/>
      </w:rPr>
    </w:lvl>
  </w:abstractNum>
  <w:abstractNum w:abstractNumId="395183">
    <w:lvl>
      <w:numFmt w:val="bullet"/>
      <w:suff w:val="tab"/>
      <w:lvlText w:val="•"/>
      <w:rPr>
        <w:color w:val="3370ff"/>
      </w:rPr>
    </w:lvl>
  </w:abstractNum>
  <w:abstractNum w:abstractNumId="395184">
    <w:lvl>
      <w:numFmt w:val="bullet"/>
      <w:suff w:val="tab"/>
      <w:lvlText w:val="•"/>
      <w:rPr>
        <w:color w:val="3370ff"/>
      </w:rPr>
    </w:lvl>
  </w:abstractNum>
  <w:abstractNum w:abstractNumId="395185">
    <w:lvl>
      <w:numFmt w:val="bullet"/>
      <w:suff w:val="tab"/>
      <w:lvlText w:val="•"/>
      <w:rPr>
        <w:color w:val="3370ff"/>
      </w:rPr>
    </w:lvl>
  </w:abstractNum>
  <w:abstractNum w:abstractNumId="395186">
    <w:lvl>
      <w:numFmt w:val="bullet"/>
      <w:suff w:val="tab"/>
      <w:lvlText w:val="•"/>
      <w:rPr>
        <w:color w:val="3370ff"/>
      </w:rPr>
    </w:lvl>
  </w:abstractNum>
  <w:abstractNum w:abstractNumId="395187">
    <w:lvl>
      <w:numFmt w:val="bullet"/>
      <w:suff w:val="tab"/>
      <w:lvlText w:val="•"/>
      <w:rPr>
        <w:color w:val="3370ff"/>
      </w:rPr>
    </w:lvl>
  </w:abstractNum>
  <w:abstractNum w:abstractNumId="395188">
    <w:lvl>
      <w:numFmt w:val="bullet"/>
      <w:suff w:val="tab"/>
      <w:lvlText w:val="•"/>
      <w:rPr>
        <w:color w:val="3370ff"/>
      </w:rPr>
    </w:lvl>
  </w:abstractNum>
  <w:abstractNum w:abstractNumId="395189">
    <w:lvl>
      <w:numFmt w:val="bullet"/>
      <w:suff w:val="tab"/>
      <w:lvlText w:val="•"/>
      <w:rPr>
        <w:color w:val="3370ff"/>
      </w:rPr>
    </w:lvl>
  </w:abstractNum>
  <w:abstractNum w:abstractNumId="395190">
    <w:lvl>
      <w:numFmt w:val="bullet"/>
      <w:suff w:val="tab"/>
      <w:lvlText w:val="•"/>
      <w:rPr>
        <w:color w:val="3370ff"/>
      </w:rPr>
    </w:lvl>
  </w:abstractNum>
  <w:abstractNum w:abstractNumId="395191">
    <w:lvl>
      <w:numFmt w:val="bullet"/>
      <w:suff w:val="tab"/>
      <w:lvlText w:val="•"/>
      <w:rPr>
        <w:color w:val="3370ff"/>
      </w:rPr>
    </w:lvl>
  </w:abstractNum>
  <w:abstractNum w:abstractNumId="395192">
    <w:lvl>
      <w:numFmt w:val="bullet"/>
      <w:suff w:val="tab"/>
      <w:lvlText w:val="•"/>
      <w:rPr>
        <w:color w:val="3370ff"/>
      </w:rPr>
    </w:lvl>
  </w:abstractNum>
  <w:abstractNum w:abstractNumId="395193">
    <w:lvl>
      <w:numFmt w:val="bullet"/>
      <w:suff w:val="tab"/>
      <w:lvlText w:val="•"/>
      <w:rPr>
        <w:color w:val="3370ff"/>
      </w:rPr>
    </w:lvl>
  </w:abstractNum>
  <w:abstractNum w:abstractNumId="395194">
    <w:lvl>
      <w:numFmt w:val="bullet"/>
      <w:suff w:val="tab"/>
      <w:lvlText w:val="•"/>
      <w:rPr>
        <w:color w:val="3370ff"/>
      </w:rPr>
    </w:lvl>
  </w:abstractNum>
  <w:abstractNum w:abstractNumId="395195">
    <w:lvl>
      <w:numFmt w:val="bullet"/>
      <w:suff w:val="tab"/>
      <w:lvlText w:val="•"/>
      <w:rPr>
        <w:color w:val="3370ff"/>
      </w:rPr>
    </w:lvl>
  </w:abstractNum>
  <w:abstractNum w:abstractNumId="395196">
    <w:lvl>
      <w:numFmt w:val="bullet"/>
      <w:suff w:val="tab"/>
      <w:lvlText w:val="•"/>
      <w:rPr>
        <w:color w:val="3370ff"/>
      </w:rPr>
    </w:lvl>
  </w:abstractNum>
  <w:abstractNum w:abstractNumId="395197">
    <w:lvl>
      <w:numFmt w:val="bullet"/>
      <w:suff w:val="tab"/>
      <w:lvlText w:val="•"/>
      <w:rPr>
        <w:color w:val="3370ff"/>
      </w:rPr>
    </w:lvl>
  </w:abstractNum>
  <w:abstractNum w:abstractNumId="395198">
    <w:lvl>
      <w:numFmt w:val="bullet"/>
      <w:suff w:val="tab"/>
      <w:lvlText w:val="•"/>
      <w:rPr>
        <w:color w:val="3370ff"/>
      </w:rPr>
    </w:lvl>
  </w:abstractNum>
  <w:abstractNum w:abstractNumId="395199">
    <w:lvl>
      <w:numFmt w:val="bullet"/>
      <w:suff w:val="tab"/>
      <w:lvlText w:val="•"/>
      <w:rPr>
        <w:color w:val="3370ff"/>
      </w:rPr>
    </w:lvl>
  </w:abstractNum>
  <w:abstractNum w:abstractNumId="395200">
    <w:lvl>
      <w:numFmt w:val="bullet"/>
      <w:suff w:val="tab"/>
      <w:lvlText w:val="•"/>
      <w:rPr>
        <w:color w:val="3370ff"/>
      </w:rPr>
    </w:lvl>
  </w:abstractNum>
  <w:abstractNum w:abstractNumId="395201">
    <w:lvl>
      <w:numFmt w:val="bullet"/>
      <w:suff w:val="tab"/>
      <w:lvlText w:val="•"/>
      <w:rPr>
        <w:color w:val="3370ff"/>
      </w:rPr>
    </w:lvl>
  </w:abstractNum>
  <w:abstractNum w:abstractNumId="395202">
    <w:lvl>
      <w:numFmt w:val="bullet"/>
      <w:suff w:val="tab"/>
      <w:lvlText w:val="•"/>
      <w:rPr>
        <w:color w:val="3370ff"/>
      </w:rPr>
    </w:lvl>
  </w:abstractNum>
  <w:abstractNum w:abstractNumId="395203">
    <w:lvl>
      <w:numFmt w:val="bullet"/>
      <w:suff w:val="tab"/>
      <w:lvlText w:val="•"/>
      <w:rPr>
        <w:color w:val="3370ff"/>
      </w:rPr>
    </w:lvl>
  </w:abstractNum>
  <w:abstractNum w:abstractNumId="395204">
    <w:lvl>
      <w:numFmt w:val="bullet"/>
      <w:suff w:val="tab"/>
      <w:lvlText w:val="•"/>
      <w:rPr>
        <w:color w:val="3370ff"/>
      </w:rPr>
    </w:lvl>
  </w:abstractNum>
  <w:abstractNum w:abstractNumId="395205">
    <w:lvl>
      <w:numFmt w:val="bullet"/>
      <w:suff w:val="tab"/>
      <w:lvlText w:val="•"/>
      <w:rPr>
        <w:color w:val="3370ff"/>
      </w:rPr>
    </w:lvl>
  </w:abstractNum>
  <w:abstractNum w:abstractNumId="395206">
    <w:lvl>
      <w:numFmt w:val="bullet"/>
      <w:suff w:val="tab"/>
      <w:lvlText w:val="•"/>
      <w:rPr>
        <w:color w:val="3370ff"/>
      </w:rPr>
    </w:lvl>
  </w:abstractNum>
  <w:abstractNum w:abstractNumId="395207">
    <w:lvl>
      <w:numFmt w:val="bullet"/>
      <w:suff w:val="tab"/>
      <w:lvlText w:val="•"/>
      <w:rPr>
        <w:color w:val="3370ff"/>
      </w:rPr>
    </w:lvl>
  </w:abstractNum>
  <w:abstractNum w:abstractNumId="395208">
    <w:lvl>
      <w:numFmt w:val="bullet"/>
      <w:suff w:val="tab"/>
      <w:lvlText w:val="•"/>
      <w:rPr>
        <w:color w:val="3370ff"/>
      </w:rPr>
    </w:lvl>
  </w:abstractNum>
  <w:abstractNum w:abstractNumId="395209">
    <w:lvl>
      <w:numFmt w:val="bullet"/>
      <w:suff w:val="tab"/>
      <w:lvlText w:val="•"/>
      <w:rPr>
        <w:color w:val="3370ff"/>
      </w:rPr>
    </w:lvl>
  </w:abstractNum>
  <w:abstractNum w:abstractNumId="395210">
    <w:lvl>
      <w:numFmt w:val="bullet"/>
      <w:suff w:val="tab"/>
      <w:lvlText w:val="•"/>
      <w:rPr>
        <w:color w:val="3370ff"/>
      </w:rPr>
    </w:lvl>
  </w:abstractNum>
  <w:abstractNum w:abstractNumId="395211">
    <w:lvl>
      <w:numFmt w:val="bullet"/>
      <w:suff w:val="tab"/>
      <w:lvlText w:val="•"/>
      <w:rPr>
        <w:color w:val="3370ff"/>
      </w:rPr>
    </w:lvl>
  </w:abstractNum>
  <w:abstractNum w:abstractNumId="395212">
    <w:lvl>
      <w:numFmt w:val="bullet"/>
      <w:suff w:val="tab"/>
      <w:lvlText w:val="•"/>
      <w:rPr>
        <w:color w:val="3370ff"/>
      </w:rPr>
    </w:lvl>
  </w:abstractNum>
  <w:abstractNum w:abstractNumId="395213">
    <w:lvl>
      <w:numFmt w:val="bullet"/>
      <w:suff w:val="tab"/>
      <w:lvlText w:val="•"/>
      <w:rPr>
        <w:color w:val="3370ff"/>
      </w:rPr>
    </w:lvl>
  </w:abstractNum>
  <w:abstractNum w:abstractNumId="395214">
    <w:lvl>
      <w:numFmt w:val="bullet"/>
      <w:suff w:val="tab"/>
      <w:lvlText w:val="•"/>
      <w:rPr>
        <w:color w:val="3370ff"/>
      </w:rPr>
    </w:lvl>
  </w:abstractNum>
  <w:abstractNum w:abstractNumId="395215">
    <w:lvl>
      <w:numFmt w:val="bullet"/>
      <w:suff w:val="tab"/>
      <w:lvlText w:val="•"/>
      <w:rPr>
        <w:color w:val="3370ff"/>
      </w:rPr>
    </w:lvl>
  </w:abstractNum>
  <w:abstractNum w:abstractNumId="395216">
    <w:lvl>
      <w:numFmt w:val="bullet"/>
      <w:suff w:val="tab"/>
      <w:lvlText w:val="•"/>
      <w:rPr>
        <w:color w:val="3370ff"/>
      </w:rPr>
    </w:lvl>
  </w:abstractNum>
  <w:abstractNum w:abstractNumId="395217">
    <w:lvl>
      <w:numFmt w:val="bullet"/>
      <w:suff w:val="tab"/>
      <w:lvlText w:val="•"/>
      <w:rPr>
        <w:color w:val="3370ff"/>
      </w:rPr>
    </w:lvl>
  </w:abstractNum>
  <w:abstractNum w:abstractNumId="395218">
    <w:lvl>
      <w:numFmt w:val="bullet"/>
      <w:suff w:val="tab"/>
      <w:lvlText w:val="•"/>
      <w:rPr>
        <w:color w:val="3370ff"/>
      </w:rPr>
    </w:lvl>
  </w:abstractNum>
  <w:abstractNum w:abstractNumId="395219">
    <w:lvl>
      <w:numFmt w:val="bullet"/>
      <w:suff w:val="tab"/>
      <w:lvlText w:val="•"/>
      <w:rPr>
        <w:color w:val="3370ff"/>
      </w:rPr>
    </w:lvl>
  </w:abstractNum>
  <w:abstractNum w:abstractNumId="395220">
    <w:lvl>
      <w:numFmt w:val="bullet"/>
      <w:suff w:val="tab"/>
      <w:lvlText w:val="•"/>
      <w:rPr>
        <w:color w:val="3370ff"/>
      </w:rPr>
    </w:lvl>
  </w:abstractNum>
  <w:abstractNum w:abstractNumId="395221">
    <w:lvl>
      <w:numFmt w:val="bullet"/>
      <w:suff w:val="tab"/>
      <w:lvlText w:val="•"/>
      <w:rPr>
        <w:color w:val="3370ff"/>
      </w:rPr>
    </w:lvl>
  </w:abstractNum>
  <w:abstractNum w:abstractNumId="395222">
    <w:lvl>
      <w:numFmt w:val="bullet"/>
      <w:suff w:val="tab"/>
      <w:lvlText w:val="•"/>
      <w:rPr>
        <w:color w:val="3370ff"/>
      </w:rPr>
    </w:lvl>
  </w:abstractNum>
  <w:abstractNum w:abstractNumId="395223">
    <w:lvl>
      <w:numFmt w:val="bullet"/>
      <w:suff w:val="tab"/>
      <w:lvlText w:val="•"/>
      <w:rPr>
        <w:color w:val="3370ff"/>
      </w:rPr>
    </w:lvl>
  </w:abstractNum>
  <w:abstractNum w:abstractNumId="395224">
    <w:lvl>
      <w:numFmt w:val="bullet"/>
      <w:suff w:val="tab"/>
      <w:lvlText w:val="•"/>
      <w:rPr>
        <w:color w:val="3370ff"/>
      </w:rPr>
    </w:lvl>
  </w:abstractNum>
  <w:abstractNum w:abstractNumId="395225">
    <w:lvl>
      <w:numFmt w:val="bullet"/>
      <w:suff w:val="tab"/>
      <w:lvlText w:val="•"/>
      <w:rPr>
        <w:color w:val="3370ff"/>
      </w:rPr>
    </w:lvl>
  </w:abstractNum>
  <w:abstractNum w:abstractNumId="395226">
    <w:lvl>
      <w:numFmt w:val="bullet"/>
      <w:suff w:val="tab"/>
      <w:lvlText w:val="•"/>
      <w:rPr>
        <w:color w:val="3370ff"/>
      </w:rPr>
    </w:lvl>
  </w:abstractNum>
  <w:abstractNum w:abstractNumId="395227">
    <w:lvl>
      <w:numFmt w:val="bullet"/>
      <w:suff w:val="tab"/>
      <w:lvlText w:val="•"/>
      <w:rPr>
        <w:color w:val="3370ff"/>
      </w:rPr>
    </w:lvl>
  </w:abstractNum>
  <w:abstractNum w:abstractNumId="395228">
    <w:lvl>
      <w:numFmt w:val="bullet"/>
      <w:suff w:val="tab"/>
      <w:lvlText w:val="•"/>
      <w:rPr>
        <w:color w:val="3370ff"/>
      </w:rPr>
    </w:lvl>
  </w:abstractNum>
  <w:abstractNum w:abstractNumId="395229">
    <w:lvl>
      <w:numFmt w:val="bullet"/>
      <w:suff w:val="tab"/>
      <w:lvlText w:val="•"/>
      <w:rPr>
        <w:color w:val="3370ff"/>
      </w:rPr>
    </w:lvl>
  </w:abstractNum>
  <w:abstractNum w:abstractNumId="395230">
    <w:lvl>
      <w:numFmt w:val="bullet"/>
      <w:suff w:val="tab"/>
      <w:lvlText w:val="•"/>
      <w:rPr>
        <w:color w:val="3370ff"/>
      </w:rPr>
    </w:lvl>
  </w:abstractNum>
  <w:abstractNum w:abstractNumId="395231">
    <w:lvl>
      <w:numFmt w:val="bullet"/>
      <w:suff w:val="tab"/>
      <w:lvlText w:val="•"/>
      <w:rPr>
        <w:color w:val="3370ff"/>
      </w:rPr>
    </w:lvl>
  </w:abstractNum>
  <w:abstractNum w:abstractNumId="395232">
    <w:lvl>
      <w:numFmt w:val="bullet"/>
      <w:suff w:val="tab"/>
      <w:lvlText w:val="•"/>
      <w:rPr>
        <w:color w:val="3370ff"/>
      </w:rPr>
    </w:lvl>
  </w:abstractNum>
  <w:abstractNum w:abstractNumId="395233">
    <w:lvl>
      <w:numFmt w:val="bullet"/>
      <w:suff w:val="tab"/>
      <w:lvlText w:val="•"/>
      <w:rPr>
        <w:color w:val="3370ff"/>
      </w:rPr>
    </w:lvl>
  </w:abstractNum>
  <w:abstractNum w:abstractNumId="395234">
    <w:lvl>
      <w:numFmt w:val="bullet"/>
      <w:suff w:val="tab"/>
      <w:lvlText w:val="•"/>
      <w:rPr>
        <w:color w:val="3370ff"/>
      </w:rPr>
    </w:lvl>
  </w:abstractNum>
  <w:abstractNum w:abstractNumId="395235">
    <w:lvl>
      <w:numFmt w:val="bullet"/>
      <w:suff w:val="tab"/>
      <w:lvlText w:val="•"/>
      <w:rPr>
        <w:color w:val="3370ff"/>
      </w:rPr>
    </w:lvl>
  </w:abstractNum>
  <w:abstractNum w:abstractNumId="395236">
    <w:lvl>
      <w:numFmt w:val="bullet"/>
      <w:suff w:val="tab"/>
      <w:lvlText w:val="•"/>
      <w:rPr>
        <w:color w:val="3370ff"/>
      </w:rPr>
    </w:lvl>
  </w:abstractNum>
  <w:abstractNum w:abstractNumId="395237">
    <w:lvl>
      <w:numFmt w:val="bullet"/>
      <w:suff w:val="tab"/>
      <w:lvlText w:val="•"/>
      <w:rPr>
        <w:color w:val="3370ff"/>
      </w:rPr>
    </w:lvl>
  </w:abstractNum>
  <w:abstractNum w:abstractNumId="395238">
    <w:lvl>
      <w:numFmt w:val="bullet"/>
      <w:suff w:val="tab"/>
      <w:lvlText w:val="•"/>
      <w:rPr>
        <w:color w:val="3370ff"/>
      </w:rPr>
    </w:lvl>
  </w:abstractNum>
  <w:abstractNum w:abstractNumId="395239">
    <w:lvl>
      <w:numFmt w:val="bullet"/>
      <w:suff w:val="tab"/>
      <w:lvlText w:val="•"/>
      <w:rPr>
        <w:color w:val="3370ff"/>
      </w:rPr>
    </w:lvl>
  </w:abstractNum>
  <w:abstractNum w:abstractNumId="395240">
    <w:lvl>
      <w:numFmt w:val="bullet"/>
      <w:suff w:val="tab"/>
      <w:lvlText w:val="•"/>
      <w:rPr>
        <w:color w:val="3370ff"/>
      </w:rPr>
    </w:lvl>
  </w:abstractNum>
  <w:abstractNum w:abstractNumId="395241">
    <w:lvl>
      <w:numFmt w:val="bullet"/>
      <w:suff w:val="tab"/>
      <w:lvlText w:val="•"/>
      <w:rPr>
        <w:color w:val="3370ff"/>
      </w:rPr>
    </w:lvl>
  </w:abstractNum>
  <w:abstractNum w:abstractNumId="395242">
    <w:lvl>
      <w:numFmt w:val="bullet"/>
      <w:suff w:val="tab"/>
      <w:lvlText w:val="•"/>
      <w:rPr>
        <w:color w:val="3370ff"/>
      </w:rPr>
    </w:lvl>
  </w:abstractNum>
  <w:abstractNum w:abstractNumId="395243">
    <w:lvl>
      <w:numFmt w:val="bullet"/>
      <w:suff w:val="tab"/>
      <w:lvlText w:val="•"/>
      <w:rPr>
        <w:color w:val="3370ff"/>
      </w:rPr>
    </w:lvl>
  </w:abstractNum>
  <w:abstractNum w:abstractNumId="395244">
    <w:lvl>
      <w:numFmt w:val="bullet"/>
      <w:suff w:val="tab"/>
      <w:lvlText w:val="•"/>
      <w:rPr>
        <w:color w:val="3370ff"/>
      </w:rPr>
    </w:lvl>
  </w:abstractNum>
  <w:abstractNum w:abstractNumId="395245">
    <w:lvl>
      <w:numFmt w:val="bullet"/>
      <w:suff w:val="tab"/>
      <w:lvlText w:val="•"/>
      <w:rPr>
        <w:color w:val="3370ff"/>
      </w:rPr>
    </w:lvl>
  </w:abstractNum>
  <w:abstractNum w:abstractNumId="395246">
    <w:lvl>
      <w:numFmt w:val="bullet"/>
      <w:suff w:val="tab"/>
      <w:lvlText w:val="•"/>
      <w:rPr>
        <w:color w:val="3370ff"/>
      </w:rPr>
    </w:lvl>
  </w:abstractNum>
  <w:abstractNum w:abstractNumId="395247">
    <w:lvl>
      <w:numFmt w:val="bullet"/>
      <w:suff w:val="tab"/>
      <w:lvlText w:val="•"/>
      <w:rPr>
        <w:color w:val="3370ff"/>
      </w:rPr>
    </w:lvl>
  </w:abstractNum>
  <w:abstractNum w:abstractNumId="395248">
    <w:lvl>
      <w:numFmt w:val="bullet"/>
      <w:suff w:val="tab"/>
      <w:lvlText w:val="•"/>
      <w:rPr>
        <w:color w:val="3370ff"/>
      </w:rPr>
    </w:lvl>
  </w:abstractNum>
  <w:abstractNum w:abstractNumId="395249">
    <w:lvl>
      <w:numFmt w:val="bullet"/>
      <w:suff w:val="tab"/>
      <w:lvlText w:val="•"/>
      <w:rPr>
        <w:color w:val="3370ff"/>
      </w:rPr>
    </w:lvl>
  </w:abstractNum>
  <w:abstractNum w:abstractNumId="395250">
    <w:lvl>
      <w:numFmt w:val="bullet"/>
      <w:suff w:val="tab"/>
      <w:lvlText w:val="•"/>
      <w:rPr>
        <w:color w:val="3370ff"/>
      </w:rPr>
    </w:lvl>
  </w:abstractNum>
  <w:abstractNum w:abstractNumId="395251">
    <w:lvl>
      <w:numFmt w:val="bullet"/>
      <w:suff w:val="tab"/>
      <w:lvlText w:val="•"/>
      <w:rPr>
        <w:color w:val="3370ff"/>
      </w:rPr>
    </w:lvl>
  </w:abstractNum>
  <w:abstractNum w:abstractNumId="395252">
    <w:lvl>
      <w:numFmt w:val="bullet"/>
      <w:suff w:val="tab"/>
      <w:lvlText w:val="•"/>
      <w:rPr>
        <w:color w:val="3370ff"/>
      </w:rPr>
    </w:lvl>
  </w:abstractNum>
  <w:abstractNum w:abstractNumId="395253">
    <w:lvl>
      <w:numFmt w:val="bullet"/>
      <w:suff w:val="tab"/>
      <w:lvlText w:val="•"/>
      <w:rPr>
        <w:color w:val="3370ff"/>
      </w:rPr>
    </w:lvl>
  </w:abstractNum>
  <w:abstractNum w:abstractNumId="395254">
    <w:lvl>
      <w:numFmt w:val="bullet"/>
      <w:suff w:val="tab"/>
      <w:lvlText w:val="•"/>
      <w:rPr>
        <w:color w:val="3370ff"/>
      </w:rPr>
    </w:lvl>
  </w:abstractNum>
  <w:abstractNum w:abstractNumId="395255">
    <w:lvl>
      <w:numFmt w:val="bullet"/>
      <w:suff w:val="tab"/>
      <w:lvlText w:val="•"/>
      <w:rPr>
        <w:color w:val="3370ff"/>
      </w:rPr>
    </w:lvl>
  </w:abstractNum>
  <w:abstractNum w:abstractNumId="395256">
    <w:lvl>
      <w:numFmt w:val="bullet"/>
      <w:suff w:val="tab"/>
      <w:lvlText w:val="•"/>
      <w:rPr>
        <w:color w:val="3370ff"/>
      </w:rPr>
    </w:lvl>
  </w:abstractNum>
  <w:abstractNum w:abstractNumId="395257">
    <w:lvl>
      <w:numFmt w:val="bullet"/>
      <w:suff w:val="tab"/>
      <w:lvlText w:val="•"/>
      <w:rPr>
        <w:color w:val="3370ff"/>
      </w:rPr>
    </w:lvl>
  </w:abstractNum>
  <w:abstractNum w:abstractNumId="395258">
    <w:lvl>
      <w:numFmt w:val="bullet"/>
      <w:suff w:val="tab"/>
      <w:lvlText w:val="•"/>
      <w:rPr>
        <w:color w:val="3370ff"/>
      </w:rPr>
    </w:lvl>
  </w:abstractNum>
  <w:abstractNum w:abstractNumId="395259">
    <w:lvl>
      <w:numFmt w:val="bullet"/>
      <w:suff w:val="tab"/>
      <w:lvlText w:val="•"/>
      <w:rPr>
        <w:color w:val="3370ff"/>
      </w:rPr>
    </w:lvl>
  </w:abstractNum>
  <w:abstractNum w:abstractNumId="395260">
    <w:lvl>
      <w:numFmt w:val="bullet"/>
      <w:suff w:val="tab"/>
      <w:lvlText w:val="•"/>
      <w:rPr>
        <w:color w:val="3370ff"/>
      </w:rPr>
    </w:lvl>
  </w:abstractNum>
  <w:abstractNum w:abstractNumId="395261">
    <w:lvl>
      <w:numFmt w:val="bullet"/>
      <w:suff w:val="tab"/>
      <w:lvlText w:val="•"/>
      <w:rPr>
        <w:color w:val="3370ff"/>
      </w:rPr>
    </w:lvl>
  </w:abstractNum>
  <w:abstractNum w:abstractNumId="395262">
    <w:lvl>
      <w:numFmt w:val="bullet"/>
      <w:suff w:val="tab"/>
      <w:lvlText w:val="•"/>
      <w:rPr>
        <w:color w:val="3370ff"/>
      </w:rPr>
    </w:lvl>
  </w:abstractNum>
  <w:abstractNum w:abstractNumId="395263">
    <w:lvl>
      <w:numFmt w:val="bullet"/>
      <w:suff w:val="tab"/>
      <w:lvlText w:val="•"/>
      <w:rPr>
        <w:color w:val="3370ff"/>
      </w:rPr>
    </w:lvl>
  </w:abstractNum>
  <w:abstractNum w:abstractNumId="395264">
    <w:lvl>
      <w:numFmt w:val="bullet"/>
      <w:suff w:val="tab"/>
      <w:lvlText w:val="•"/>
      <w:rPr>
        <w:color w:val="3370ff"/>
      </w:rPr>
    </w:lvl>
  </w:abstractNum>
  <w:abstractNum w:abstractNumId="395265">
    <w:lvl>
      <w:numFmt w:val="bullet"/>
      <w:suff w:val="tab"/>
      <w:lvlText w:val="•"/>
      <w:rPr>
        <w:color w:val="3370ff"/>
      </w:rPr>
    </w:lvl>
  </w:abstractNum>
  <w:abstractNum w:abstractNumId="395266">
    <w:lvl>
      <w:numFmt w:val="bullet"/>
      <w:suff w:val="tab"/>
      <w:lvlText w:val="•"/>
      <w:rPr>
        <w:color w:val="3370ff"/>
      </w:rPr>
    </w:lvl>
  </w:abstractNum>
  <w:abstractNum w:abstractNumId="395267">
    <w:lvl>
      <w:numFmt w:val="bullet"/>
      <w:suff w:val="tab"/>
      <w:lvlText w:val="•"/>
      <w:rPr>
        <w:color w:val="3370ff"/>
      </w:rPr>
    </w:lvl>
  </w:abstractNum>
  <w:abstractNum w:abstractNumId="395268">
    <w:lvl>
      <w:numFmt w:val="bullet"/>
      <w:suff w:val="tab"/>
      <w:lvlText w:val="•"/>
      <w:rPr>
        <w:color w:val="3370ff"/>
      </w:rPr>
    </w:lvl>
  </w:abstractNum>
  <w:abstractNum w:abstractNumId="395269">
    <w:lvl>
      <w:numFmt w:val="bullet"/>
      <w:suff w:val="tab"/>
      <w:lvlText w:val="•"/>
      <w:rPr>
        <w:color w:val="3370ff"/>
      </w:rPr>
    </w:lvl>
  </w:abstractNum>
  <w:abstractNum w:abstractNumId="395270">
    <w:lvl>
      <w:numFmt w:val="bullet"/>
      <w:suff w:val="tab"/>
      <w:lvlText w:val="•"/>
      <w:rPr>
        <w:color w:val="3370ff"/>
      </w:rPr>
    </w:lvl>
  </w:abstractNum>
  <w:abstractNum w:abstractNumId="395271">
    <w:lvl>
      <w:numFmt w:val="bullet"/>
      <w:suff w:val="tab"/>
      <w:lvlText w:val="•"/>
      <w:rPr>
        <w:color w:val="3370ff"/>
      </w:rPr>
    </w:lvl>
  </w:abstractNum>
  <w:abstractNum w:abstractNumId="395272">
    <w:lvl>
      <w:numFmt w:val="bullet"/>
      <w:suff w:val="tab"/>
      <w:lvlText w:val="•"/>
      <w:rPr>
        <w:color w:val="3370ff"/>
      </w:rPr>
    </w:lvl>
  </w:abstractNum>
  <w:abstractNum w:abstractNumId="395273">
    <w:lvl>
      <w:numFmt w:val="bullet"/>
      <w:suff w:val="tab"/>
      <w:lvlText w:val="•"/>
      <w:rPr>
        <w:color w:val="3370ff"/>
      </w:rPr>
    </w:lvl>
  </w:abstractNum>
  <w:abstractNum w:abstractNumId="395274">
    <w:lvl>
      <w:numFmt w:val="bullet"/>
      <w:suff w:val="tab"/>
      <w:lvlText w:val="•"/>
      <w:rPr>
        <w:color w:val="3370ff"/>
      </w:rPr>
    </w:lvl>
  </w:abstractNum>
  <w:abstractNum w:abstractNumId="395275">
    <w:lvl>
      <w:numFmt w:val="bullet"/>
      <w:suff w:val="tab"/>
      <w:lvlText w:val="•"/>
      <w:rPr>
        <w:color w:val="3370ff"/>
      </w:rPr>
    </w:lvl>
  </w:abstractNum>
  <w:abstractNum w:abstractNumId="395276">
    <w:lvl>
      <w:numFmt w:val="bullet"/>
      <w:suff w:val="tab"/>
      <w:lvlText w:val="•"/>
      <w:rPr>
        <w:color w:val="3370ff"/>
      </w:rPr>
    </w:lvl>
  </w:abstractNum>
  <w:abstractNum w:abstractNumId="395277">
    <w:lvl>
      <w:numFmt w:val="bullet"/>
      <w:suff w:val="tab"/>
      <w:lvlText w:val="•"/>
      <w:rPr>
        <w:color w:val="3370ff"/>
      </w:rPr>
    </w:lvl>
  </w:abstractNum>
  <w:abstractNum w:abstractNumId="395278">
    <w:lvl>
      <w:numFmt w:val="bullet"/>
      <w:suff w:val="tab"/>
      <w:lvlText w:val="•"/>
      <w:rPr>
        <w:color w:val="3370ff"/>
      </w:rPr>
    </w:lvl>
  </w:abstractNum>
  <w:abstractNum w:abstractNumId="395279">
    <w:lvl>
      <w:numFmt w:val="bullet"/>
      <w:suff w:val="tab"/>
      <w:lvlText w:val="•"/>
      <w:rPr>
        <w:color w:val="3370ff"/>
      </w:rPr>
    </w:lvl>
  </w:abstractNum>
  <w:abstractNum w:abstractNumId="395280">
    <w:lvl>
      <w:numFmt w:val="bullet"/>
      <w:suff w:val="tab"/>
      <w:lvlText w:val="•"/>
      <w:rPr>
        <w:color w:val="3370ff"/>
      </w:rPr>
    </w:lvl>
  </w:abstractNum>
  <w:abstractNum w:abstractNumId="395281">
    <w:lvl>
      <w:numFmt w:val="bullet"/>
      <w:suff w:val="tab"/>
      <w:lvlText w:val="•"/>
      <w:rPr>
        <w:color w:val="3370ff"/>
      </w:rPr>
    </w:lvl>
  </w:abstractNum>
  <w:abstractNum w:abstractNumId="395282">
    <w:lvl>
      <w:numFmt w:val="bullet"/>
      <w:suff w:val="tab"/>
      <w:lvlText w:val="•"/>
      <w:rPr>
        <w:color w:val="3370ff"/>
      </w:rPr>
    </w:lvl>
  </w:abstractNum>
  <w:abstractNum w:abstractNumId="395283">
    <w:lvl>
      <w:numFmt w:val="bullet"/>
      <w:suff w:val="tab"/>
      <w:lvlText w:val="•"/>
      <w:rPr>
        <w:color w:val="3370ff"/>
      </w:rPr>
    </w:lvl>
  </w:abstractNum>
  <w:abstractNum w:abstractNumId="395284">
    <w:lvl>
      <w:numFmt w:val="bullet"/>
      <w:suff w:val="tab"/>
      <w:lvlText w:val="•"/>
      <w:rPr>
        <w:color w:val="3370ff"/>
      </w:rPr>
    </w:lvl>
  </w:abstractNum>
  <w:abstractNum w:abstractNumId="395285">
    <w:lvl>
      <w:numFmt w:val="bullet"/>
      <w:suff w:val="tab"/>
      <w:lvlText w:val="•"/>
      <w:rPr>
        <w:color w:val="3370ff"/>
      </w:rPr>
    </w:lvl>
  </w:abstractNum>
  <w:abstractNum w:abstractNumId="395286">
    <w:lvl>
      <w:numFmt w:val="bullet"/>
      <w:suff w:val="tab"/>
      <w:lvlText w:val="•"/>
      <w:rPr>
        <w:color w:val="3370ff"/>
      </w:rPr>
    </w:lvl>
  </w:abstractNum>
  <w:abstractNum w:abstractNumId="395287">
    <w:lvl>
      <w:numFmt w:val="bullet"/>
      <w:suff w:val="tab"/>
      <w:lvlText w:val="•"/>
      <w:rPr>
        <w:color w:val="3370ff"/>
      </w:rPr>
    </w:lvl>
  </w:abstractNum>
  <w:abstractNum w:abstractNumId="395288">
    <w:lvl>
      <w:numFmt w:val="bullet"/>
      <w:suff w:val="tab"/>
      <w:lvlText w:val="•"/>
      <w:rPr>
        <w:color w:val="3370ff"/>
      </w:rPr>
    </w:lvl>
  </w:abstractNum>
  <w:abstractNum w:abstractNumId="395289">
    <w:lvl>
      <w:numFmt w:val="bullet"/>
      <w:suff w:val="tab"/>
      <w:lvlText w:val="•"/>
      <w:rPr>
        <w:color w:val="3370ff"/>
      </w:rPr>
    </w:lvl>
  </w:abstractNum>
  <w:abstractNum w:abstractNumId="395290">
    <w:lvl>
      <w:numFmt w:val="bullet"/>
      <w:suff w:val="tab"/>
      <w:lvlText w:val="•"/>
      <w:rPr>
        <w:color w:val="3370ff"/>
      </w:rPr>
    </w:lvl>
  </w:abstractNum>
  <w:abstractNum w:abstractNumId="395291">
    <w:lvl>
      <w:numFmt w:val="bullet"/>
      <w:suff w:val="tab"/>
      <w:lvlText w:val="•"/>
      <w:rPr>
        <w:color w:val="3370ff"/>
      </w:rPr>
    </w:lvl>
  </w:abstractNum>
  <w:abstractNum w:abstractNumId="395292">
    <w:lvl>
      <w:numFmt w:val="bullet"/>
      <w:suff w:val="tab"/>
      <w:lvlText w:val="•"/>
      <w:rPr>
        <w:color w:val="3370ff"/>
      </w:rPr>
    </w:lvl>
  </w:abstractNum>
  <w:abstractNum w:abstractNumId="395293">
    <w:lvl>
      <w:numFmt w:val="bullet"/>
      <w:suff w:val="tab"/>
      <w:lvlText w:val="•"/>
      <w:rPr>
        <w:color w:val="3370ff"/>
      </w:rPr>
    </w:lvl>
  </w:abstractNum>
  <w:abstractNum w:abstractNumId="395294">
    <w:lvl>
      <w:numFmt w:val="bullet"/>
      <w:suff w:val="tab"/>
      <w:lvlText w:val="•"/>
      <w:rPr>
        <w:color w:val="3370ff"/>
      </w:rPr>
    </w:lvl>
  </w:abstractNum>
  <w:abstractNum w:abstractNumId="395295">
    <w:lvl>
      <w:numFmt w:val="bullet"/>
      <w:suff w:val="tab"/>
      <w:lvlText w:val="•"/>
      <w:rPr>
        <w:color w:val="3370ff"/>
      </w:rPr>
    </w:lvl>
  </w:abstractNum>
  <w:abstractNum w:abstractNumId="395296">
    <w:lvl>
      <w:numFmt w:val="bullet"/>
      <w:suff w:val="tab"/>
      <w:lvlText w:val="•"/>
      <w:rPr>
        <w:color w:val="3370ff"/>
      </w:rPr>
    </w:lvl>
  </w:abstractNum>
  <w:abstractNum w:abstractNumId="395297">
    <w:lvl>
      <w:numFmt w:val="bullet"/>
      <w:suff w:val="tab"/>
      <w:lvlText w:val="•"/>
      <w:rPr>
        <w:color w:val="3370ff"/>
      </w:rPr>
    </w:lvl>
  </w:abstractNum>
  <w:abstractNum w:abstractNumId="395298">
    <w:lvl>
      <w:numFmt w:val="bullet"/>
      <w:suff w:val="tab"/>
      <w:lvlText w:val="•"/>
      <w:rPr>
        <w:color w:val="3370ff"/>
      </w:rPr>
    </w:lvl>
  </w:abstractNum>
  <w:abstractNum w:abstractNumId="395299">
    <w:lvl>
      <w:numFmt w:val="bullet"/>
      <w:suff w:val="tab"/>
      <w:lvlText w:val="•"/>
      <w:rPr>
        <w:color w:val="3370ff"/>
      </w:rPr>
    </w:lvl>
  </w:abstractNum>
  <w:abstractNum w:abstractNumId="395300">
    <w:lvl>
      <w:numFmt w:val="bullet"/>
      <w:suff w:val="tab"/>
      <w:lvlText w:val="•"/>
      <w:rPr>
        <w:color w:val="3370ff"/>
      </w:rPr>
    </w:lvl>
  </w:abstractNum>
  <w:abstractNum w:abstractNumId="395301">
    <w:lvl>
      <w:start w:val="1"/>
      <w:numFmt w:val="decimal"/>
      <w:suff w:val="tab"/>
      <w:lvlText w:val="%1."/>
      <w:rPr>
        <w:color w:val="3370ff"/>
      </w:rPr>
    </w:lvl>
  </w:abstractNum>
  <w:abstractNum w:abstractNumId="395302">
    <w:lvl>
      <w:start w:val="2"/>
      <w:numFmt w:val="decimal"/>
      <w:suff w:val="tab"/>
      <w:lvlText w:val="%1."/>
      <w:rPr>
        <w:color w:val="3370ff"/>
      </w:rPr>
    </w:lvl>
  </w:abstractNum>
  <w:abstractNum w:abstractNumId="395303">
    <w:lvl>
      <w:start w:val="3"/>
      <w:numFmt w:val="decimal"/>
      <w:suff w:val="tab"/>
      <w:lvlText w:val="%1."/>
      <w:rPr>
        <w:color w:val="3370ff"/>
      </w:rPr>
    </w:lvl>
  </w:abstractNum>
  <w:abstractNum w:abstractNumId="395304">
    <w:lvl>
      <w:start w:val="4"/>
      <w:numFmt w:val="decimal"/>
      <w:suff w:val="tab"/>
      <w:lvlText w:val="%1."/>
      <w:rPr>
        <w:color w:val="3370ff"/>
      </w:rPr>
    </w:lvl>
  </w:abstractNum>
  <w:abstractNum w:abstractNumId="395305">
    <w:lvl>
      <w:start w:val="5"/>
      <w:numFmt w:val="decimal"/>
      <w:suff w:val="tab"/>
      <w:lvlText w:val="%1."/>
      <w:rPr>
        <w:color w:val="3370ff"/>
      </w:rPr>
    </w:lvl>
  </w:abstractNum>
  <w:abstractNum w:abstractNumId="395306">
    <w:lvl>
      <w:start w:val="6"/>
      <w:numFmt w:val="decimal"/>
      <w:suff w:val="tab"/>
      <w:lvlText w:val="%1."/>
      <w:rPr>
        <w:color w:val="3370ff"/>
      </w:rPr>
    </w:lvl>
  </w:abstractNum>
  <w:abstractNum w:abstractNumId="395307">
    <w:lvl>
      <w:start w:val="7"/>
      <w:numFmt w:val="decimal"/>
      <w:suff w:val="tab"/>
      <w:lvlText w:val="%1."/>
      <w:rPr>
        <w:color w:val="3370ff"/>
      </w:rPr>
    </w:lvl>
  </w:abstractNum>
  <w:abstractNum w:abstractNumId="395308">
    <w:lvl>
      <w:start w:val="8"/>
      <w:numFmt w:val="decimal"/>
      <w:suff w:val="tab"/>
      <w:lvlText w:val="%1."/>
      <w:rPr>
        <w:color w:val="3370ff"/>
      </w:rPr>
    </w:lvl>
  </w:abstractNum>
  <w:abstractNum w:abstractNumId="395309">
    <w:lvl>
      <w:start w:val="9"/>
      <w:numFmt w:val="decimal"/>
      <w:suff w:val="tab"/>
      <w:lvlText w:val="%1."/>
      <w:rPr>
        <w:color w:val="3370ff"/>
      </w:rPr>
    </w:lvl>
  </w:abstractNum>
  <w:abstractNum w:abstractNumId="395310">
    <w:lvl>
      <w:numFmt w:val="bullet"/>
      <w:suff w:val="tab"/>
      <w:lvlText w:val="•"/>
      <w:rPr>
        <w:color w:val="3370ff"/>
      </w:rPr>
    </w:lvl>
  </w:abstractNum>
  <w:abstractNum w:abstractNumId="395311">
    <w:lvl>
      <w:numFmt w:val="bullet"/>
      <w:suff w:val="tab"/>
      <w:lvlText w:val="•"/>
      <w:rPr>
        <w:color w:val="3370ff"/>
      </w:rPr>
    </w:lvl>
  </w:abstractNum>
  <w:abstractNum w:abstractNumId="395312">
    <w:lvl>
      <w:numFmt w:val="bullet"/>
      <w:suff w:val="tab"/>
      <w:lvlText w:val="•"/>
      <w:rPr>
        <w:color w:val="3370ff"/>
      </w:rPr>
    </w:lvl>
  </w:abstractNum>
  <w:abstractNum w:abstractNumId="395313">
    <w:lvl>
      <w:numFmt w:val="bullet"/>
      <w:suff w:val="tab"/>
      <w:lvlText w:val="•"/>
      <w:rPr>
        <w:color w:val="3370ff"/>
      </w:rPr>
    </w:lvl>
  </w:abstractNum>
  <w:abstractNum w:abstractNumId="395314">
    <w:lvl>
      <w:numFmt w:val="bullet"/>
      <w:suff w:val="tab"/>
      <w:lvlText w:val="•"/>
      <w:rPr>
        <w:color w:val="3370ff"/>
      </w:rPr>
    </w:lvl>
  </w:abstractNum>
  <w:abstractNum w:abstractNumId="395315">
    <w:lvl>
      <w:numFmt w:val="bullet"/>
      <w:suff w:val="tab"/>
      <w:lvlText w:val="•"/>
      <w:rPr>
        <w:color w:val="3370ff"/>
      </w:rPr>
    </w:lvl>
  </w:abstractNum>
  <w:abstractNum w:abstractNumId="395316">
    <w:lvl>
      <w:numFmt w:val="bullet"/>
      <w:suff w:val="tab"/>
      <w:lvlText w:val="•"/>
      <w:rPr>
        <w:color w:val="3370ff"/>
      </w:rPr>
    </w:lvl>
  </w:abstractNum>
  <w:abstractNum w:abstractNumId="395317">
    <w:lvl>
      <w:numFmt w:val="bullet"/>
      <w:suff w:val="tab"/>
      <w:lvlText w:val="•"/>
      <w:rPr>
        <w:color w:val="3370ff"/>
      </w:rPr>
    </w:lvl>
  </w:abstractNum>
  <w:abstractNum w:abstractNumId="395318">
    <w:lvl>
      <w:numFmt w:val="bullet"/>
      <w:suff w:val="tab"/>
      <w:lvlText w:val="•"/>
      <w:rPr>
        <w:color w:val="3370ff"/>
      </w:rPr>
    </w:lvl>
  </w:abstractNum>
  <w:num w:numId="1">
    <w:abstractNumId w:val="395122"/>
  </w:num>
  <w:num w:numId="2">
    <w:abstractNumId w:val="395123"/>
  </w:num>
  <w:num w:numId="3">
    <w:abstractNumId w:val="395124"/>
  </w:num>
  <w:num w:numId="4">
    <w:abstractNumId w:val="395125"/>
  </w:num>
  <w:num w:numId="5">
    <w:abstractNumId w:val="395126"/>
  </w:num>
  <w:num w:numId="6">
    <w:abstractNumId w:val="395127"/>
  </w:num>
  <w:num w:numId="7">
    <w:abstractNumId w:val="395128"/>
  </w:num>
  <w:num w:numId="8">
    <w:abstractNumId w:val="395129"/>
  </w:num>
  <w:num w:numId="9">
    <w:abstractNumId w:val="395130"/>
  </w:num>
  <w:num w:numId="10">
    <w:abstractNumId w:val="395131"/>
  </w:num>
  <w:num w:numId="11">
    <w:abstractNumId w:val="395132"/>
  </w:num>
  <w:num w:numId="12">
    <w:abstractNumId w:val="395133"/>
  </w:num>
  <w:num w:numId="13">
    <w:abstractNumId w:val="395134"/>
  </w:num>
  <w:num w:numId="14">
    <w:abstractNumId w:val="395135"/>
  </w:num>
  <w:num w:numId="15">
    <w:abstractNumId w:val="395136"/>
  </w:num>
  <w:num w:numId="16">
    <w:abstractNumId w:val="395137"/>
  </w:num>
  <w:num w:numId="17">
    <w:abstractNumId w:val="395138"/>
  </w:num>
  <w:num w:numId="18">
    <w:abstractNumId w:val="395139"/>
  </w:num>
  <w:num w:numId="19">
    <w:abstractNumId w:val="395140"/>
  </w:num>
  <w:num w:numId="20">
    <w:abstractNumId w:val="395141"/>
  </w:num>
  <w:num w:numId="21">
    <w:abstractNumId w:val="395142"/>
  </w:num>
  <w:num w:numId="22">
    <w:abstractNumId w:val="395143"/>
  </w:num>
  <w:num w:numId="23">
    <w:abstractNumId w:val="395144"/>
  </w:num>
  <w:num w:numId="24">
    <w:abstractNumId w:val="395145"/>
  </w:num>
  <w:num w:numId="25">
    <w:abstractNumId w:val="395146"/>
  </w:num>
  <w:num w:numId="26">
    <w:abstractNumId w:val="395147"/>
  </w:num>
  <w:num w:numId="27">
    <w:abstractNumId w:val="395148"/>
  </w:num>
  <w:num w:numId="28">
    <w:abstractNumId w:val="395149"/>
  </w:num>
  <w:num w:numId="29">
    <w:abstractNumId w:val="395150"/>
  </w:num>
  <w:num w:numId="30">
    <w:abstractNumId w:val="395151"/>
  </w:num>
  <w:num w:numId="31">
    <w:abstractNumId w:val="395152"/>
  </w:num>
  <w:num w:numId="32">
    <w:abstractNumId w:val="395153"/>
  </w:num>
  <w:num w:numId="33">
    <w:abstractNumId w:val="395154"/>
  </w:num>
  <w:num w:numId="34">
    <w:abstractNumId w:val="395155"/>
  </w:num>
  <w:num w:numId="35">
    <w:abstractNumId w:val="395156"/>
  </w:num>
  <w:num w:numId="36">
    <w:abstractNumId w:val="395157"/>
  </w:num>
  <w:num w:numId="37">
    <w:abstractNumId w:val="395158"/>
  </w:num>
  <w:num w:numId="38">
    <w:abstractNumId w:val="395159"/>
  </w:num>
  <w:num w:numId="39">
    <w:abstractNumId w:val="395160"/>
  </w:num>
  <w:num w:numId="40">
    <w:abstractNumId w:val="395161"/>
  </w:num>
  <w:num w:numId="41">
    <w:abstractNumId w:val="395162"/>
  </w:num>
  <w:num w:numId="42">
    <w:abstractNumId w:val="395163"/>
  </w:num>
  <w:num w:numId="43">
    <w:abstractNumId w:val="395164"/>
  </w:num>
  <w:num w:numId="44">
    <w:abstractNumId w:val="395165"/>
  </w:num>
  <w:num w:numId="45">
    <w:abstractNumId w:val="395166"/>
  </w:num>
  <w:num w:numId="46">
    <w:abstractNumId w:val="395167"/>
  </w:num>
  <w:num w:numId="47">
    <w:abstractNumId w:val="395168"/>
  </w:num>
  <w:num w:numId="48">
    <w:abstractNumId w:val="395169"/>
  </w:num>
  <w:num w:numId="49">
    <w:abstractNumId w:val="395170"/>
  </w:num>
  <w:num w:numId="50">
    <w:abstractNumId w:val="395171"/>
  </w:num>
  <w:num w:numId="51">
    <w:abstractNumId w:val="395172"/>
  </w:num>
  <w:num w:numId="52">
    <w:abstractNumId w:val="395173"/>
  </w:num>
  <w:num w:numId="53">
    <w:abstractNumId w:val="395174"/>
  </w:num>
  <w:num w:numId="54">
    <w:abstractNumId w:val="395175"/>
  </w:num>
  <w:num w:numId="55">
    <w:abstractNumId w:val="395176"/>
  </w:num>
  <w:num w:numId="56">
    <w:abstractNumId w:val="395177"/>
  </w:num>
  <w:num w:numId="57">
    <w:abstractNumId w:val="395178"/>
  </w:num>
  <w:num w:numId="58">
    <w:abstractNumId w:val="395179"/>
  </w:num>
  <w:num w:numId="59">
    <w:abstractNumId w:val="395180"/>
  </w:num>
  <w:num w:numId="60">
    <w:abstractNumId w:val="395181"/>
  </w:num>
  <w:num w:numId="61">
    <w:abstractNumId w:val="395182"/>
  </w:num>
  <w:num w:numId="62">
    <w:abstractNumId w:val="395183"/>
  </w:num>
  <w:num w:numId="63">
    <w:abstractNumId w:val="395184"/>
  </w:num>
  <w:num w:numId="64">
    <w:abstractNumId w:val="395185"/>
  </w:num>
  <w:num w:numId="65">
    <w:abstractNumId w:val="395186"/>
  </w:num>
  <w:num w:numId="66">
    <w:abstractNumId w:val="395187"/>
  </w:num>
  <w:num w:numId="67">
    <w:abstractNumId w:val="395188"/>
  </w:num>
  <w:num w:numId="68">
    <w:abstractNumId w:val="395189"/>
  </w:num>
  <w:num w:numId="69">
    <w:abstractNumId w:val="395190"/>
  </w:num>
  <w:num w:numId="70">
    <w:abstractNumId w:val="395191"/>
  </w:num>
  <w:num w:numId="71">
    <w:abstractNumId w:val="395192"/>
  </w:num>
  <w:num w:numId="72">
    <w:abstractNumId w:val="395193"/>
  </w:num>
  <w:num w:numId="73">
    <w:abstractNumId w:val="395194"/>
  </w:num>
  <w:num w:numId="74">
    <w:abstractNumId w:val="395195"/>
  </w:num>
  <w:num w:numId="75">
    <w:abstractNumId w:val="395196"/>
  </w:num>
  <w:num w:numId="76">
    <w:abstractNumId w:val="395197"/>
  </w:num>
  <w:num w:numId="77">
    <w:abstractNumId w:val="395198"/>
  </w:num>
  <w:num w:numId="78">
    <w:abstractNumId w:val="395199"/>
  </w:num>
  <w:num w:numId="79">
    <w:abstractNumId w:val="395200"/>
  </w:num>
  <w:num w:numId="80">
    <w:abstractNumId w:val="395201"/>
  </w:num>
  <w:num w:numId="81">
    <w:abstractNumId w:val="395202"/>
  </w:num>
  <w:num w:numId="82">
    <w:abstractNumId w:val="395203"/>
  </w:num>
  <w:num w:numId="83">
    <w:abstractNumId w:val="395204"/>
  </w:num>
  <w:num w:numId="84">
    <w:abstractNumId w:val="395205"/>
  </w:num>
  <w:num w:numId="85">
    <w:abstractNumId w:val="395206"/>
  </w:num>
  <w:num w:numId="86">
    <w:abstractNumId w:val="395207"/>
  </w:num>
  <w:num w:numId="87">
    <w:abstractNumId w:val="395208"/>
  </w:num>
  <w:num w:numId="88">
    <w:abstractNumId w:val="395209"/>
  </w:num>
  <w:num w:numId="89">
    <w:abstractNumId w:val="395210"/>
  </w:num>
  <w:num w:numId="90">
    <w:abstractNumId w:val="395211"/>
  </w:num>
  <w:num w:numId="91">
    <w:abstractNumId w:val="395212"/>
  </w:num>
  <w:num w:numId="92">
    <w:abstractNumId w:val="395213"/>
  </w:num>
  <w:num w:numId="93">
    <w:abstractNumId w:val="395214"/>
  </w:num>
  <w:num w:numId="94">
    <w:abstractNumId w:val="395215"/>
  </w:num>
  <w:num w:numId="95">
    <w:abstractNumId w:val="395216"/>
  </w:num>
  <w:num w:numId="96">
    <w:abstractNumId w:val="395217"/>
  </w:num>
  <w:num w:numId="97">
    <w:abstractNumId w:val="395218"/>
  </w:num>
  <w:num w:numId="98">
    <w:abstractNumId w:val="395219"/>
  </w:num>
  <w:num w:numId="99">
    <w:abstractNumId w:val="395220"/>
  </w:num>
  <w:num w:numId="100">
    <w:abstractNumId w:val="395221"/>
  </w:num>
  <w:num w:numId="101">
    <w:abstractNumId w:val="395222"/>
  </w:num>
  <w:num w:numId="102">
    <w:abstractNumId w:val="395223"/>
  </w:num>
  <w:num w:numId="103">
    <w:abstractNumId w:val="395224"/>
  </w:num>
  <w:num w:numId="104">
    <w:abstractNumId w:val="395225"/>
  </w:num>
  <w:num w:numId="105">
    <w:abstractNumId w:val="395226"/>
  </w:num>
  <w:num w:numId="106">
    <w:abstractNumId w:val="395227"/>
  </w:num>
  <w:num w:numId="107">
    <w:abstractNumId w:val="395228"/>
  </w:num>
  <w:num w:numId="108">
    <w:abstractNumId w:val="395229"/>
  </w:num>
  <w:num w:numId="109">
    <w:abstractNumId w:val="395230"/>
  </w:num>
  <w:num w:numId="110">
    <w:abstractNumId w:val="395231"/>
  </w:num>
  <w:num w:numId="111">
    <w:abstractNumId w:val="395232"/>
  </w:num>
  <w:num w:numId="112">
    <w:abstractNumId w:val="395233"/>
  </w:num>
  <w:num w:numId="113">
    <w:abstractNumId w:val="395234"/>
  </w:num>
  <w:num w:numId="114">
    <w:abstractNumId w:val="395235"/>
  </w:num>
  <w:num w:numId="115">
    <w:abstractNumId w:val="395236"/>
  </w:num>
  <w:num w:numId="116">
    <w:abstractNumId w:val="395237"/>
  </w:num>
  <w:num w:numId="117">
    <w:abstractNumId w:val="395238"/>
  </w:num>
  <w:num w:numId="118">
    <w:abstractNumId w:val="395239"/>
  </w:num>
  <w:num w:numId="119">
    <w:abstractNumId w:val="395240"/>
  </w:num>
  <w:num w:numId="120">
    <w:abstractNumId w:val="395241"/>
  </w:num>
  <w:num w:numId="121">
    <w:abstractNumId w:val="395242"/>
  </w:num>
  <w:num w:numId="122">
    <w:abstractNumId w:val="395243"/>
  </w:num>
  <w:num w:numId="123">
    <w:abstractNumId w:val="395244"/>
  </w:num>
  <w:num w:numId="124">
    <w:abstractNumId w:val="395245"/>
  </w:num>
  <w:num w:numId="125">
    <w:abstractNumId w:val="395246"/>
  </w:num>
  <w:num w:numId="126">
    <w:abstractNumId w:val="395247"/>
  </w:num>
  <w:num w:numId="127">
    <w:abstractNumId w:val="395248"/>
  </w:num>
  <w:num w:numId="128">
    <w:abstractNumId w:val="395249"/>
  </w:num>
  <w:num w:numId="129">
    <w:abstractNumId w:val="395250"/>
  </w:num>
  <w:num w:numId="130">
    <w:abstractNumId w:val="395251"/>
  </w:num>
  <w:num w:numId="131">
    <w:abstractNumId w:val="395252"/>
  </w:num>
  <w:num w:numId="132">
    <w:abstractNumId w:val="395253"/>
  </w:num>
  <w:num w:numId="133">
    <w:abstractNumId w:val="395254"/>
  </w:num>
  <w:num w:numId="134">
    <w:abstractNumId w:val="395255"/>
  </w:num>
  <w:num w:numId="135">
    <w:abstractNumId w:val="395256"/>
  </w:num>
  <w:num w:numId="136">
    <w:abstractNumId w:val="395257"/>
  </w:num>
  <w:num w:numId="137">
    <w:abstractNumId w:val="395258"/>
  </w:num>
  <w:num w:numId="138">
    <w:abstractNumId w:val="395259"/>
  </w:num>
  <w:num w:numId="139">
    <w:abstractNumId w:val="395260"/>
  </w:num>
  <w:num w:numId="140">
    <w:abstractNumId w:val="395261"/>
  </w:num>
  <w:num w:numId="141">
    <w:abstractNumId w:val="395262"/>
  </w:num>
  <w:num w:numId="142">
    <w:abstractNumId w:val="395263"/>
  </w:num>
  <w:num w:numId="143">
    <w:abstractNumId w:val="395264"/>
  </w:num>
  <w:num w:numId="144">
    <w:abstractNumId w:val="395265"/>
  </w:num>
  <w:num w:numId="145">
    <w:abstractNumId w:val="395266"/>
  </w:num>
  <w:num w:numId="146">
    <w:abstractNumId w:val="395267"/>
  </w:num>
  <w:num w:numId="147">
    <w:abstractNumId w:val="395268"/>
  </w:num>
  <w:num w:numId="148">
    <w:abstractNumId w:val="395269"/>
  </w:num>
  <w:num w:numId="149">
    <w:abstractNumId w:val="395270"/>
  </w:num>
  <w:num w:numId="150">
    <w:abstractNumId w:val="395271"/>
  </w:num>
  <w:num w:numId="151">
    <w:abstractNumId w:val="395272"/>
  </w:num>
  <w:num w:numId="152">
    <w:abstractNumId w:val="395273"/>
  </w:num>
  <w:num w:numId="153">
    <w:abstractNumId w:val="395274"/>
  </w:num>
  <w:num w:numId="154">
    <w:abstractNumId w:val="395275"/>
  </w:num>
  <w:num w:numId="155">
    <w:abstractNumId w:val="395276"/>
  </w:num>
  <w:num w:numId="156">
    <w:abstractNumId w:val="395277"/>
  </w:num>
  <w:num w:numId="157">
    <w:abstractNumId w:val="395278"/>
  </w:num>
  <w:num w:numId="158">
    <w:abstractNumId w:val="395279"/>
  </w:num>
  <w:num w:numId="159">
    <w:abstractNumId w:val="395280"/>
  </w:num>
  <w:num w:numId="160">
    <w:abstractNumId w:val="395281"/>
  </w:num>
  <w:num w:numId="161">
    <w:abstractNumId w:val="395282"/>
  </w:num>
  <w:num w:numId="162">
    <w:abstractNumId w:val="395283"/>
  </w:num>
  <w:num w:numId="163">
    <w:abstractNumId w:val="395284"/>
  </w:num>
  <w:num w:numId="164">
    <w:abstractNumId w:val="395285"/>
  </w:num>
  <w:num w:numId="165">
    <w:abstractNumId w:val="395286"/>
  </w:num>
  <w:num w:numId="166">
    <w:abstractNumId w:val="395287"/>
  </w:num>
  <w:num w:numId="167">
    <w:abstractNumId w:val="395288"/>
  </w:num>
  <w:num w:numId="168">
    <w:abstractNumId w:val="395289"/>
  </w:num>
  <w:num w:numId="169">
    <w:abstractNumId w:val="395290"/>
  </w:num>
  <w:num w:numId="170">
    <w:abstractNumId w:val="395291"/>
  </w:num>
  <w:num w:numId="171">
    <w:abstractNumId w:val="395292"/>
  </w:num>
  <w:num w:numId="172">
    <w:abstractNumId w:val="395293"/>
  </w:num>
  <w:num w:numId="173">
    <w:abstractNumId w:val="395294"/>
  </w:num>
  <w:num w:numId="174">
    <w:abstractNumId w:val="395295"/>
  </w:num>
  <w:num w:numId="175">
    <w:abstractNumId w:val="395296"/>
  </w:num>
  <w:num w:numId="176">
    <w:abstractNumId w:val="395297"/>
  </w:num>
  <w:num w:numId="177">
    <w:abstractNumId w:val="395298"/>
  </w:num>
  <w:num w:numId="178">
    <w:abstractNumId w:val="395299"/>
  </w:num>
  <w:num w:numId="179">
    <w:abstractNumId w:val="395300"/>
  </w:num>
  <w:num w:numId="180">
    <w:abstractNumId w:val="395301"/>
  </w:num>
  <w:num w:numId="181">
    <w:abstractNumId w:val="395302"/>
  </w:num>
  <w:num w:numId="182">
    <w:abstractNumId w:val="395303"/>
  </w:num>
  <w:num w:numId="183">
    <w:abstractNumId w:val="395304"/>
  </w:num>
  <w:num w:numId="184">
    <w:abstractNumId w:val="395305"/>
  </w:num>
  <w:num w:numId="185">
    <w:abstractNumId w:val="395306"/>
  </w:num>
  <w:num w:numId="186">
    <w:abstractNumId w:val="395307"/>
  </w:num>
  <w:num w:numId="187">
    <w:abstractNumId w:val="395308"/>
  </w:num>
  <w:num w:numId="188">
    <w:abstractNumId w:val="395309"/>
  </w:num>
  <w:num w:numId="189">
    <w:abstractNumId w:val="395310"/>
  </w:num>
  <w:num w:numId="190">
    <w:abstractNumId w:val="395311"/>
  </w:num>
  <w:num w:numId="191">
    <w:abstractNumId w:val="395312"/>
  </w:num>
  <w:num w:numId="192">
    <w:abstractNumId w:val="395313"/>
  </w:num>
  <w:num w:numId="193">
    <w:abstractNumId w:val="395314"/>
  </w:num>
  <w:num w:numId="194">
    <w:abstractNumId w:val="395315"/>
  </w:num>
  <w:num w:numId="195">
    <w:abstractNumId w:val="395316"/>
  </w:num>
  <w:num w:numId="196">
    <w:abstractNumId w:val="395317"/>
  </w:num>
  <w:num w:numId="197">
    <w:abstractNumId w:val="39531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eg69120xnei.sg.larksuite.com/wiki/TYNQwno6ai7bSDktYAelAjhSg0d" TargetMode="External" Type="http://schemas.openxmlformats.org/officeDocument/2006/relationships/hyperlink"/><Relationship Id="rId6" Target="https://eg69120xnei.sg.larksuite.com/wiki/FkB4wT0pNihTe1k890DlnaJjgke" TargetMode="External" Type="http://schemas.openxmlformats.org/officeDocument/2006/relationships/hyperlink"/><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2026-08-06T18:12:04Z</dcterms:created>
  <dc:creator>Apache POI</dc:creator>
</cp:coreProperties>
</file>