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12/1/2026 - Holsen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Raw Notes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 validity is perpetual, or unless the company adds/remove items to the C1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Important is tariff code and quantity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Can also be unlimited quantity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Limited quantity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When invoice them, is tax free,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LMW yearly renewal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A57 - Transactional, 1 time tax exemption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C3 - Tax exempt to import items X for X quantities respectively.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Primary order workflow: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the purchasing deal first with the external supplier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 1 tonnes of salt for x price.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Then check with local buyers and push them to buy the salt, some with tax free some no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So 1 Outbound PO  (purchasing), to many Inbound PO (sales) (some C3 some C1, A57, LMW, some not)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inbound PO (Sales) is treated as a single order and its lifecycle managed accordingly.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 requirement is to have end 2 end traceability of the lifecycle of the order. Especially for C3 which requires batch quantity tracking.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Each Batch to store the handling document package, K1, COA (Detailed), COA (Masked), COO, CoC, Handling related documents.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Most common way.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one purchase to supplier, but can be for multiple customer.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purchase outbound can be to multiple inbound.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unique to batch number in documentation as well as physically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stores both detailed coa and masked coa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Default behaviour is always return the masked copy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K1, Coo, COC, Handlings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document package.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Firefly Meeting Summary</w:t>
      </w:r>
      <w:bookmarkEnd w:id="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Tax Exemption Document Workflows:</w:t>
      </w:r>
      <w:r>
        <w:rPr>
          <w:rFonts w:eastAsia="等线" w:ascii="Arial" w:cs="Arial" w:hAnsi="Arial"/>
          <w:sz w:val="22"/>
        </w:rPr>
        <w:t xml:space="preserve"> Clear distinctions for C1, C3, A57, and LMW importance in compliance and invoicing management.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 and LMW Certificates:</w:t>
      </w:r>
      <w:r>
        <w:rPr>
          <w:rFonts w:eastAsia="等线" w:ascii="Arial" w:cs="Arial" w:hAnsi="Arial"/>
          <w:sz w:val="22"/>
        </w:rPr>
        <w:t xml:space="preserve"> C1 is perpetual; LMW requires yearly renewal; both tied to tariff codes for tax exemptions.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A57 Exemption Process:</w:t>
      </w:r>
      <w:r>
        <w:rPr>
          <w:rFonts w:eastAsia="等线" w:ascii="Arial" w:cs="Arial" w:hAnsi="Arial"/>
          <w:sz w:val="22"/>
        </w:rPr>
        <w:t xml:space="preserve"> One-time exemption linked to specific purchase orders, ensures tax-free status for all included items.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C3 Document Complexity:</w:t>
      </w:r>
      <w:r>
        <w:rPr>
          <w:rFonts w:eastAsia="等线" w:ascii="Arial" w:cs="Arial" w:hAnsi="Arial"/>
          <w:sz w:val="22"/>
        </w:rPr>
        <w:t xml:space="preserve"> Batch tracking necessary; linked to specific customer orders, requiring unique documentation for compliance.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Management Best Practices:</w:t>
      </w:r>
      <w:r>
        <w:rPr>
          <w:rFonts w:eastAsia="等线" w:ascii="Arial" w:cs="Arial" w:hAnsi="Arial"/>
          <w:sz w:val="22"/>
        </w:rPr>
        <w:t xml:space="preserve"> Physical segregation and unique numbering essential for traceability; clear ties to POs for audit compliance.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Integration Enhancements:</w:t>
      </w:r>
      <w:r>
        <w:rPr>
          <w:rFonts w:eastAsia="等线" w:ascii="Arial" w:cs="Arial" w:hAnsi="Arial"/>
          <w:sz w:val="22"/>
        </w:rPr>
        <w:t xml:space="preserve"> Full document management automation to reduce errors; promotes compliance with a focus on customer requirements.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Tax Exemption Document Handling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confirmed clear distinctions and workflows for managing four tax exemption documents—</w:t>
      </w:r>
      <w:r>
        <w:rPr>
          <w:rFonts w:eastAsia="等线" w:ascii="Arial" w:cs="Arial" w:hAnsi="Arial"/>
          <w:b w:val="true"/>
          <w:sz w:val="22"/>
        </w:rPr>
        <w:t>C1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C3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57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等线" w:ascii="Arial" w:cs="Arial" w:hAnsi="Arial"/>
          <w:b w:val="true"/>
          <w:sz w:val="22"/>
        </w:rPr>
        <w:t>LMW</w:t>
      </w:r>
      <w:r>
        <w:rPr>
          <w:rFonts w:eastAsia="等线" w:ascii="Arial" w:cs="Arial" w:hAnsi="Arial"/>
          <w:sz w:val="22"/>
        </w:rPr>
        <w:t>—to ensure compliance and streamline invoicing (00:02).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 and LMW certificates cover tax exemption by tariff codes across multiple SKUs with validity distinctions</w:t>
      </w:r>
      <w:r>
        <w:rPr>
          <w:rFonts w:eastAsia="等线" w:ascii="Arial" w:cs="Arial" w:hAnsi="Arial"/>
          <w:sz w:val="22"/>
        </w:rPr>
        <w:t xml:space="preserve"> (03:31)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C1 is effectively perpetual unless the company updates exempted items</w:t>
      </w:r>
      <w:r>
        <w:rPr>
          <w:rFonts w:eastAsia="等线" w:ascii="Arial" w:cs="Arial" w:hAnsi="Arial"/>
          <w:sz w:val="22"/>
        </w:rPr>
        <w:t xml:space="preserve">, while </w:t>
      </w:r>
      <w:r>
        <w:rPr>
          <w:rFonts w:eastAsia="等线" w:ascii="Arial" w:cs="Arial" w:hAnsi="Arial"/>
          <w:b w:val="true"/>
          <w:sz w:val="22"/>
        </w:rPr>
        <w:t>LMW requires yearly renewal</w:t>
      </w:r>
      <w:r>
        <w:rPr>
          <w:rFonts w:eastAsia="等线" w:ascii="Arial" w:cs="Arial" w:hAnsi="Arial"/>
          <w:sz w:val="22"/>
        </w:rPr>
        <w:t xml:space="preserve"> as explained by Holsen Sales (Tam).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Tariff codes, similar to HS codes, are the key identifiers for exemption, not individual SKU names or packaging.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Validity tracking focuses on the tariff code and product consistency, with unlimited quantities allowed if unchanged by the manufacturer.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approach simplifies invoicing for exempt items under these certificates, supporting ongoing tax-free sales without batch tracking.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A57 is confirmed as a one-time tax exemption tied to a specific purchase order (PO), ensuring all items in that order are tax-free</w:t>
      </w:r>
      <w:r>
        <w:rPr>
          <w:rFonts w:eastAsia="等线" w:ascii="Arial" w:cs="Arial" w:hAnsi="Arial"/>
          <w:sz w:val="22"/>
        </w:rPr>
        <w:t xml:space="preserve"> (07:39)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Maintaining clear records linking the PO to the A57 document secures compliance.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distinct treatment contrasts with C1 and C3 processes, supporting straightforward order-based tax exemption.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C3 documents require batch-level tracking for tax exemption linked to specific customer orders and quantities, introducing complexity</w:t>
      </w:r>
      <w:r>
        <w:rPr>
          <w:rFonts w:eastAsia="等线" w:ascii="Arial" w:cs="Arial" w:hAnsi="Arial"/>
          <w:sz w:val="22"/>
        </w:rPr>
        <w:t xml:space="preserve"> (08:29)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acts as the appointed importer on behalf of customers, confirmed by accompanying appointment letters.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process involves receiving POs with C3, then placing supplier orders referencing the C3 number to ensure export documentation aligns.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Upon arrival, each batch is associated with unique K1 customs forms and regulatory attachments, requiring separate batch records.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Sales (Tam) confirmed batch-level uniqueness is mandatory both physically and in documentation for audit compliance.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Two C3 import workflows exist: direct customer-specific purchase and bulk procurement allocated across multiple customers</w:t>
      </w:r>
      <w:r>
        <w:rPr>
          <w:rFonts w:eastAsia="等线" w:ascii="Arial" w:cs="Arial" w:hAnsi="Arial"/>
          <w:sz w:val="22"/>
        </w:rPr>
        <w:t xml:space="preserve"> (10:32)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more common approach involves bulk import followed by customer allocation and individual C3 applications per customer.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supports multiple outbound sales orders from one inbound purchase, demanding careful batch and quantity management.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Inventory tracking reflects these splits with physical batch segregation or at minimum, clear quantity reservations for compliance.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Inventory and Fulfillment Processes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clarified batch management and fulfillment rules to maintain traceability and audit compliance for tax-exempt imports (13:29).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segregation is best practice but may vary by site, with some sites consolidating documents while marking customer-specific reserved quantities</w:t>
      </w:r>
      <w:r>
        <w:rPr>
          <w:rFonts w:eastAsia="等线" w:ascii="Arial" w:cs="Arial" w:hAnsi="Arial"/>
          <w:sz w:val="22"/>
        </w:rPr>
        <w:t xml:space="preserve"> (13:29)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Ivan stressed that physical and documentation-level batch uniqueness prevents audit issues and supports traceability.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Sales (Tam) confirmed physical separation and unique batch numbering are required for compliance.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Handling repeat orders with overlapping fulfillment periods requires careful coordination to avoid mixing batches improperly</w:t>
      </w:r>
      <w:r>
        <w:rPr>
          <w:rFonts w:eastAsia="等线" w:ascii="Arial" w:cs="Arial" w:hAnsi="Arial"/>
          <w:sz w:val="22"/>
        </w:rPr>
        <w:t xml:space="preserve"> (15:07)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When customers place new orders before fully receiving prior batches, fulfillment usually draws from the existing batch only with client agreement.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Management decides whether to ship from earlier batches or wait for new stock, balancing stock availability and audit integrity.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Sales (Tam) noted customers must amend orders if stock is drawn from earlier batches to maintain accurate PO-to-delivery note (DN) traceability.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notes (DNs) must clearly tie back to specific POs and batches without mixing to meet audit requirements</w:t>
      </w:r>
      <w:r>
        <w:rPr>
          <w:rFonts w:eastAsia="等线" w:ascii="Arial" w:cs="Arial" w:hAnsi="Arial"/>
          <w:sz w:val="22"/>
        </w:rPr>
        <w:t xml:space="preserve"> (18:16)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stock from batch one fulfills part of a second PO, clients adjust orders accordingly instead of issuing separate DNs from different batches.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avoids discrepancies in total quantities and maintains clean documentation trails.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Batch Documentation and System Integration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meeting outlined required batch-level documents and system handling to improve transparency and automate delivery of client-specific documents (20:36).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Mandatory batch documents include COA (Certificate of Analysis) and K1 customs forms; other documents like CoC (Country of Origin) and handling certificates are optional and provided on request</w:t>
      </w:r>
      <w:r>
        <w:rPr>
          <w:rFonts w:eastAsia="等线" w:ascii="Arial" w:cs="Arial" w:hAnsi="Arial"/>
          <w:sz w:val="22"/>
        </w:rPr>
        <w:t xml:space="preserve"> (22:17)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Sales (Tam) emphasized COA is standard for all customers, while additional documents depend on client needs.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selective document management keeps processes lean while meeting diverse client requirements.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will store and manage both full and masked versions of COAs, delivering masked copies to clients by default to protect sensitive information</w:t>
      </w:r>
      <w:r>
        <w:rPr>
          <w:rFonts w:eastAsia="等线" w:ascii="Arial" w:cs="Arial" w:hAnsi="Arial"/>
          <w:sz w:val="22"/>
        </w:rPr>
        <w:t xml:space="preserve"> (20:55)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Masked versions will be stored in dedicated folders for automated retrieval, enabling smooth document delivery.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setup reduces manual handling and supports compliance with client confidentiality preferences.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 batch documents will be combined into a single PDF package with appendices for easy user selection during printing</w:t>
      </w:r>
      <w:r>
        <w:rPr>
          <w:rFonts w:eastAsia="等线" w:ascii="Arial" w:cs="Arial" w:hAnsi="Arial"/>
          <w:sz w:val="22"/>
        </w:rPr>
        <w:t xml:space="preserve"> (24:18)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Users can pick which pages to print, improving operational flexibility and reducing document handling errors.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approach supports streamlined workflows and consistent client communications.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Sales (Tam) committed to providing full batch document samples including K1, CoC, and handling certificates to ensure system alignment with real-world requirements</w:t>
      </w:r>
      <w:r>
        <w:rPr>
          <w:rFonts w:eastAsia="等线" w:ascii="Arial" w:cs="Arial" w:hAnsi="Arial"/>
          <w:sz w:val="22"/>
        </w:rPr>
        <w:t xml:space="preserve"> (25:28)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Ivan will review the documents and request additional files if needed.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collaboration ensures the system design covers all necessary documentation types for compliance and service quality.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Strategic Compliance and Operational Alignment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discussion reinforced the critical importance of aligning documentation, batch management, and system workflows with audit and customs compliance requirements (14:04).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Maintaining strict batch-level traceability across physical stock, documentation, and invoicing prevents compliance risks during audits</w:t>
      </w:r>
      <w:r>
        <w:rPr>
          <w:rFonts w:eastAsia="等线" w:ascii="Arial" w:cs="Arial" w:hAnsi="Arial"/>
          <w:sz w:val="22"/>
        </w:rPr>
        <w:t xml:space="preserve"> (15:03)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Ivan highlighted that unique batch numbers must be consistent across all records and physical handling.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Holsen Sales (Tam) confirmed this is standard practice to avoid regulatory issues.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coordination is essential when fulfilling orders with overlapping delivery schedules to prevent batch mixing and maintain accurate records</w:t>
      </w:r>
      <w:r>
        <w:rPr>
          <w:rFonts w:eastAsia="等线" w:ascii="Arial" w:cs="Arial" w:hAnsi="Arial"/>
          <w:sz w:val="22"/>
        </w:rPr>
        <w:t xml:space="preserve"> (17:56)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Transparent communication avoids misaligned delivery notes and order mismatches.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operational discipline supports long-term client trust and smooth customs clearance.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enhancements to batch document management and tax exemption tracking will reduce manual errors and improve audit readiness</w:t>
      </w:r>
      <w:r>
        <w:rPr>
          <w:rFonts w:eastAsia="等线" w:ascii="Arial" w:cs="Arial" w:hAnsi="Arial"/>
          <w:sz w:val="22"/>
        </w:rPr>
        <w:t xml:space="preserve"> (23:54)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Automating masked document delivery and batch packaging addresses current operational pain points.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These improvements are expected to boost customer satisfaction by providing timely and accurate documentation.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Sales (Tam) serves as a key knowledge source and will assist with ongoing clarifications and document provisioning to support system implementation</w:t>
      </w:r>
      <w:r>
        <w:rPr>
          <w:rFonts w:eastAsia="等线" w:ascii="Arial" w:cs="Arial" w:hAnsi="Arial"/>
          <w:sz w:val="22"/>
        </w:rPr>
        <w:t xml:space="preserve"> (26:59)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Ivan encouraged continued direct communication to resolve emerging questions quickly.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collaboration underpins successful operational and system integration.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items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Ivan Chiang</w:t>
      </w:r>
      <w:bookmarkEnd w:id="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Holsen’s shared Google Drive folder with batch documents and confirm completeness, report missing items to Holsen team (25:28)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system feature to generate single PDF with all batch-related documents (COA, K1, CoC, handling docs) for user selective printing (22:35)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Holsen Sales (Tam)</w:t>
      </w:r>
      <w:bookmarkEnd w:id="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full batch document package samples including K1 form, CoC, and handling safety documents beyond COA and C1/C3 certifications (26:21)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Notify Ivan once complete document package is available in shared folder for retrieval (26:33)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446">
    <w:lvl>
      <w:start w:val="1"/>
      <w:numFmt w:val="decimal"/>
      <w:suff w:val="tab"/>
      <w:lvlText w:val="%1."/>
      <w:rPr>
        <w:color w:val="3370ff"/>
      </w:rPr>
    </w:lvl>
  </w:abstractNum>
  <w:abstractNum w:abstractNumId="25447">
    <w:lvl>
      <w:start w:val="1"/>
      <w:numFmt w:val="lowerLetter"/>
      <w:suff w:val="tab"/>
      <w:lvlText w:val="%1."/>
      <w:rPr>
        <w:color w:val="3370ff"/>
      </w:rPr>
    </w:lvl>
  </w:abstractNum>
  <w:abstractNum w:abstractNumId="25448">
    <w:lvl>
      <w:start w:val="2"/>
      <w:numFmt w:val="decimal"/>
      <w:suff w:val="tab"/>
      <w:lvlText w:val="%1."/>
      <w:rPr>
        <w:color w:val="3370ff"/>
      </w:rPr>
    </w:lvl>
  </w:abstractNum>
  <w:abstractNum w:abstractNumId="25449">
    <w:lvl>
      <w:start w:val="1"/>
      <w:numFmt w:val="lowerLetter"/>
      <w:suff w:val="tab"/>
      <w:lvlText w:val="%1."/>
      <w:rPr>
        <w:color w:val="3370ff"/>
      </w:rPr>
    </w:lvl>
  </w:abstractNum>
  <w:abstractNum w:abstractNumId="25450">
    <w:lvl>
      <w:start w:val="3"/>
      <w:numFmt w:val="decimal"/>
      <w:suff w:val="tab"/>
      <w:lvlText w:val="%1."/>
      <w:rPr>
        <w:color w:val="3370ff"/>
      </w:rPr>
    </w:lvl>
  </w:abstractNum>
  <w:abstractNum w:abstractNumId="25451">
    <w:lvl>
      <w:start w:val="1"/>
      <w:numFmt w:val="lowerLetter"/>
      <w:suff w:val="tab"/>
      <w:lvlText w:val="%1."/>
      <w:rPr>
        <w:color w:val="3370ff"/>
      </w:rPr>
    </w:lvl>
  </w:abstractNum>
  <w:abstractNum w:abstractNumId="25452">
    <w:lvl>
      <w:start w:val="2"/>
      <w:numFmt w:val="lowerLetter"/>
      <w:suff w:val="tab"/>
      <w:lvlText w:val="%1."/>
      <w:rPr>
        <w:color w:val="3370ff"/>
      </w:rPr>
    </w:lvl>
  </w:abstractNum>
  <w:abstractNum w:abstractNumId="25453">
    <w:lvl>
      <w:start w:val="3"/>
      <w:numFmt w:val="lowerLetter"/>
      <w:suff w:val="tab"/>
      <w:lvlText w:val="%1."/>
      <w:rPr>
        <w:color w:val="3370ff"/>
      </w:rPr>
    </w:lvl>
  </w:abstractNum>
  <w:abstractNum w:abstractNumId="25454">
    <w:lvl>
      <w:numFmt w:val="bullet"/>
      <w:suff w:val="tab"/>
      <w:lvlText w:val="•"/>
      <w:rPr>
        <w:color w:val="3370ff"/>
      </w:rPr>
    </w:lvl>
  </w:abstractNum>
  <w:abstractNum w:abstractNumId="25455">
    <w:lvl>
      <w:numFmt w:val="bullet"/>
      <w:suff w:val="tab"/>
      <w:lvlText w:val="•"/>
      <w:rPr>
        <w:color w:val="3370ff"/>
      </w:rPr>
    </w:lvl>
  </w:abstractNum>
  <w:abstractNum w:abstractNumId="25456">
    <w:lvl>
      <w:numFmt w:val="bullet"/>
      <w:suff w:val="tab"/>
      <w:lvlText w:val="•"/>
      <w:rPr>
        <w:color w:val="3370ff"/>
      </w:rPr>
    </w:lvl>
  </w:abstractNum>
  <w:abstractNum w:abstractNumId="25457">
    <w:lvl>
      <w:numFmt w:val="bullet"/>
      <w:suff w:val="tab"/>
      <w:lvlText w:val="•"/>
      <w:rPr>
        <w:color w:val="3370ff"/>
      </w:rPr>
    </w:lvl>
  </w:abstractNum>
  <w:abstractNum w:abstractNumId="25458">
    <w:lvl>
      <w:numFmt w:val="bullet"/>
      <w:suff w:val="tab"/>
      <w:lvlText w:val="•"/>
      <w:rPr>
        <w:color w:val="3370ff"/>
      </w:rPr>
    </w:lvl>
  </w:abstractNum>
  <w:abstractNum w:abstractNumId="25459">
    <w:lvl>
      <w:numFmt w:val="bullet"/>
      <w:suff w:val="tab"/>
      <w:lvlText w:val="•"/>
      <w:rPr>
        <w:color w:val="3370ff"/>
      </w:rPr>
    </w:lvl>
  </w:abstractNum>
  <w:abstractNum w:abstractNumId="25460">
    <w:lvl>
      <w:numFmt w:val="bullet"/>
      <w:suff w:val="tab"/>
      <w:lvlText w:val="•"/>
      <w:rPr>
        <w:color w:val="3370ff"/>
      </w:rPr>
    </w:lvl>
  </w:abstractNum>
  <w:abstractNum w:abstractNumId="25461">
    <w:lvl>
      <w:numFmt w:val="bullet"/>
      <w:suff w:val="tab"/>
      <w:lvlText w:val="￮"/>
      <w:rPr>
        <w:color w:val="3370ff"/>
      </w:rPr>
    </w:lvl>
  </w:abstractNum>
  <w:abstractNum w:abstractNumId="25462">
    <w:lvl>
      <w:numFmt w:val="bullet"/>
      <w:suff w:val="tab"/>
      <w:lvlText w:val="￮"/>
      <w:rPr>
        <w:color w:val="3370ff"/>
      </w:rPr>
    </w:lvl>
  </w:abstractNum>
  <w:abstractNum w:abstractNumId="25463">
    <w:lvl>
      <w:numFmt w:val="bullet"/>
      <w:suff w:val="tab"/>
      <w:lvlText w:val="￮"/>
      <w:rPr>
        <w:color w:val="3370ff"/>
      </w:rPr>
    </w:lvl>
  </w:abstractNum>
  <w:abstractNum w:abstractNumId="25464">
    <w:lvl>
      <w:numFmt w:val="bullet"/>
      <w:suff w:val="tab"/>
      <w:lvlText w:val="￮"/>
      <w:rPr>
        <w:color w:val="3370ff"/>
      </w:rPr>
    </w:lvl>
  </w:abstractNum>
  <w:abstractNum w:abstractNumId="25465">
    <w:lvl>
      <w:numFmt w:val="bullet"/>
      <w:suff w:val="tab"/>
      <w:lvlText w:val="•"/>
      <w:rPr>
        <w:color w:val="3370ff"/>
      </w:rPr>
    </w:lvl>
  </w:abstractNum>
  <w:abstractNum w:abstractNumId="25466">
    <w:lvl>
      <w:numFmt w:val="bullet"/>
      <w:suff w:val="tab"/>
      <w:lvlText w:val="￮"/>
      <w:rPr>
        <w:color w:val="3370ff"/>
      </w:rPr>
    </w:lvl>
  </w:abstractNum>
  <w:abstractNum w:abstractNumId="25467">
    <w:lvl>
      <w:numFmt w:val="bullet"/>
      <w:suff w:val="tab"/>
      <w:lvlText w:val="￮"/>
      <w:rPr>
        <w:color w:val="3370ff"/>
      </w:rPr>
    </w:lvl>
  </w:abstractNum>
  <w:abstractNum w:abstractNumId="25468">
    <w:lvl>
      <w:numFmt w:val="bullet"/>
      <w:suff w:val="tab"/>
      <w:lvlText w:val="•"/>
      <w:rPr>
        <w:color w:val="3370ff"/>
      </w:rPr>
    </w:lvl>
  </w:abstractNum>
  <w:abstractNum w:abstractNumId="25469">
    <w:lvl>
      <w:numFmt w:val="bullet"/>
      <w:suff w:val="tab"/>
      <w:lvlText w:val="￮"/>
      <w:rPr>
        <w:color w:val="3370ff"/>
      </w:rPr>
    </w:lvl>
  </w:abstractNum>
  <w:abstractNum w:abstractNumId="25470">
    <w:lvl>
      <w:numFmt w:val="bullet"/>
      <w:suff w:val="tab"/>
      <w:lvlText w:val="￮"/>
      <w:rPr>
        <w:color w:val="3370ff"/>
      </w:rPr>
    </w:lvl>
  </w:abstractNum>
  <w:abstractNum w:abstractNumId="25471">
    <w:lvl>
      <w:numFmt w:val="bullet"/>
      <w:suff w:val="tab"/>
      <w:lvlText w:val="￮"/>
      <w:rPr>
        <w:color w:val="3370ff"/>
      </w:rPr>
    </w:lvl>
  </w:abstractNum>
  <w:abstractNum w:abstractNumId="25472">
    <w:lvl>
      <w:numFmt w:val="bullet"/>
      <w:suff w:val="tab"/>
      <w:lvlText w:val="￮"/>
      <w:rPr>
        <w:color w:val="3370ff"/>
      </w:rPr>
    </w:lvl>
  </w:abstractNum>
  <w:abstractNum w:abstractNumId="25473">
    <w:lvl>
      <w:numFmt w:val="bullet"/>
      <w:suff w:val="tab"/>
      <w:lvlText w:val="•"/>
      <w:rPr>
        <w:color w:val="3370ff"/>
      </w:rPr>
    </w:lvl>
  </w:abstractNum>
  <w:abstractNum w:abstractNumId="25474">
    <w:lvl>
      <w:numFmt w:val="bullet"/>
      <w:suff w:val="tab"/>
      <w:lvlText w:val="￮"/>
      <w:rPr>
        <w:color w:val="3370ff"/>
      </w:rPr>
    </w:lvl>
  </w:abstractNum>
  <w:abstractNum w:abstractNumId="25475">
    <w:lvl>
      <w:numFmt w:val="bullet"/>
      <w:suff w:val="tab"/>
      <w:lvlText w:val="￮"/>
      <w:rPr>
        <w:color w:val="3370ff"/>
      </w:rPr>
    </w:lvl>
  </w:abstractNum>
  <w:abstractNum w:abstractNumId="25476">
    <w:lvl>
      <w:numFmt w:val="bullet"/>
      <w:suff w:val="tab"/>
      <w:lvlText w:val="￮"/>
      <w:rPr>
        <w:color w:val="3370ff"/>
      </w:rPr>
    </w:lvl>
  </w:abstractNum>
  <w:abstractNum w:abstractNumId="25477">
    <w:lvl>
      <w:numFmt w:val="bullet"/>
      <w:suff w:val="tab"/>
      <w:lvlText w:val="•"/>
      <w:rPr>
        <w:color w:val="3370ff"/>
      </w:rPr>
    </w:lvl>
  </w:abstractNum>
  <w:abstractNum w:abstractNumId="25478">
    <w:lvl>
      <w:numFmt w:val="bullet"/>
      <w:suff w:val="tab"/>
      <w:lvlText w:val="￮"/>
      <w:rPr>
        <w:color w:val="3370ff"/>
      </w:rPr>
    </w:lvl>
  </w:abstractNum>
  <w:abstractNum w:abstractNumId="25479">
    <w:lvl>
      <w:numFmt w:val="bullet"/>
      <w:suff w:val="tab"/>
      <w:lvlText w:val="￮"/>
      <w:rPr>
        <w:color w:val="3370ff"/>
      </w:rPr>
    </w:lvl>
  </w:abstractNum>
  <w:abstractNum w:abstractNumId="25480">
    <w:lvl>
      <w:numFmt w:val="bullet"/>
      <w:suff w:val="tab"/>
      <w:lvlText w:val="•"/>
      <w:rPr>
        <w:color w:val="3370ff"/>
      </w:rPr>
    </w:lvl>
  </w:abstractNum>
  <w:abstractNum w:abstractNumId="25481">
    <w:lvl>
      <w:numFmt w:val="bullet"/>
      <w:suff w:val="tab"/>
      <w:lvlText w:val="￮"/>
      <w:rPr>
        <w:color w:val="3370ff"/>
      </w:rPr>
    </w:lvl>
  </w:abstractNum>
  <w:abstractNum w:abstractNumId="25482">
    <w:lvl>
      <w:numFmt w:val="bullet"/>
      <w:suff w:val="tab"/>
      <w:lvlText w:val="￮"/>
      <w:rPr>
        <w:color w:val="3370ff"/>
      </w:rPr>
    </w:lvl>
  </w:abstractNum>
  <w:abstractNum w:abstractNumId="25483">
    <w:lvl>
      <w:numFmt w:val="bullet"/>
      <w:suff w:val="tab"/>
      <w:lvlText w:val="￮"/>
      <w:rPr>
        <w:color w:val="3370ff"/>
      </w:rPr>
    </w:lvl>
  </w:abstractNum>
  <w:abstractNum w:abstractNumId="25484">
    <w:lvl>
      <w:numFmt w:val="bullet"/>
      <w:suff w:val="tab"/>
      <w:lvlText w:val="•"/>
      <w:rPr>
        <w:color w:val="3370ff"/>
      </w:rPr>
    </w:lvl>
  </w:abstractNum>
  <w:abstractNum w:abstractNumId="25485">
    <w:lvl>
      <w:numFmt w:val="bullet"/>
      <w:suff w:val="tab"/>
      <w:lvlText w:val="￮"/>
      <w:rPr>
        <w:color w:val="3370ff"/>
      </w:rPr>
    </w:lvl>
  </w:abstractNum>
  <w:abstractNum w:abstractNumId="25486">
    <w:lvl>
      <w:numFmt w:val="bullet"/>
      <w:suff w:val="tab"/>
      <w:lvlText w:val="￮"/>
      <w:rPr>
        <w:color w:val="3370ff"/>
      </w:rPr>
    </w:lvl>
  </w:abstractNum>
  <w:abstractNum w:abstractNumId="25487">
    <w:lvl>
      <w:numFmt w:val="bullet"/>
      <w:suff w:val="tab"/>
      <w:lvlText w:val="•"/>
      <w:rPr>
        <w:color w:val="3370ff"/>
      </w:rPr>
    </w:lvl>
  </w:abstractNum>
  <w:abstractNum w:abstractNumId="25488">
    <w:lvl>
      <w:numFmt w:val="bullet"/>
      <w:suff w:val="tab"/>
      <w:lvlText w:val="￮"/>
      <w:rPr>
        <w:color w:val="3370ff"/>
      </w:rPr>
    </w:lvl>
  </w:abstractNum>
  <w:abstractNum w:abstractNumId="25489">
    <w:lvl>
      <w:numFmt w:val="bullet"/>
      <w:suff w:val="tab"/>
      <w:lvlText w:val="￮"/>
      <w:rPr>
        <w:color w:val="3370ff"/>
      </w:rPr>
    </w:lvl>
  </w:abstractNum>
  <w:abstractNum w:abstractNumId="25490">
    <w:lvl>
      <w:numFmt w:val="bullet"/>
      <w:suff w:val="tab"/>
      <w:lvlText w:val="•"/>
      <w:rPr>
        <w:color w:val="3370ff"/>
      </w:rPr>
    </w:lvl>
  </w:abstractNum>
  <w:abstractNum w:abstractNumId="25491">
    <w:lvl>
      <w:numFmt w:val="bullet"/>
      <w:suff w:val="tab"/>
      <w:lvlText w:val="￮"/>
      <w:rPr>
        <w:color w:val="3370ff"/>
      </w:rPr>
    </w:lvl>
  </w:abstractNum>
  <w:abstractNum w:abstractNumId="25492">
    <w:lvl>
      <w:numFmt w:val="bullet"/>
      <w:suff w:val="tab"/>
      <w:lvlText w:val="￮"/>
      <w:rPr>
        <w:color w:val="3370ff"/>
      </w:rPr>
    </w:lvl>
  </w:abstractNum>
  <w:abstractNum w:abstractNumId="25493">
    <w:lvl>
      <w:numFmt w:val="bullet"/>
      <w:suff w:val="tab"/>
      <w:lvlText w:val="•"/>
      <w:rPr>
        <w:color w:val="3370ff"/>
      </w:rPr>
    </w:lvl>
  </w:abstractNum>
  <w:abstractNum w:abstractNumId="25494">
    <w:lvl>
      <w:numFmt w:val="bullet"/>
      <w:suff w:val="tab"/>
      <w:lvlText w:val="￮"/>
      <w:rPr>
        <w:color w:val="3370ff"/>
      </w:rPr>
    </w:lvl>
  </w:abstractNum>
  <w:abstractNum w:abstractNumId="25495">
    <w:lvl>
      <w:numFmt w:val="bullet"/>
      <w:suff w:val="tab"/>
      <w:lvlText w:val="￮"/>
      <w:rPr>
        <w:color w:val="3370ff"/>
      </w:rPr>
    </w:lvl>
  </w:abstractNum>
  <w:abstractNum w:abstractNumId="25496">
    <w:lvl>
      <w:numFmt w:val="bullet"/>
      <w:suff w:val="tab"/>
      <w:lvlText w:val="•"/>
      <w:rPr>
        <w:color w:val="3370ff"/>
      </w:rPr>
    </w:lvl>
  </w:abstractNum>
  <w:abstractNum w:abstractNumId="25497">
    <w:lvl>
      <w:numFmt w:val="bullet"/>
      <w:suff w:val="tab"/>
      <w:lvlText w:val="￮"/>
      <w:rPr>
        <w:color w:val="3370ff"/>
      </w:rPr>
    </w:lvl>
  </w:abstractNum>
  <w:abstractNum w:abstractNumId="25498">
    <w:lvl>
      <w:numFmt w:val="bullet"/>
      <w:suff w:val="tab"/>
      <w:lvlText w:val="￮"/>
      <w:rPr>
        <w:color w:val="3370ff"/>
      </w:rPr>
    </w:lvl>
  </w:abstractNum>
  <w:abstractNum w:abstractNumId="25499">
    <w:lvl>
      <w:numFmt w:val="bullet"/>
      <w:suff w:val="tab"/>
      <w:lvlText w:val="•"/>
      <w:rPr>
        <w:color w:val="3370ff"/>
      </w:rPr>
    </w:lvl>
  </w:abstractNum>
  <w:abstractNum w:abstractNumId="25500">
    <w:lvl>
      <w:numFmt w:val="bullet"/>
      <w:suff w:val="tab"/>
      <w:lvlText w:val="￮"/>
      <w:rPr>
        <w:color w:val="3370ff"/>
      </w:rPr>
    </w:lvl>
  </w:abstractNum>
  <w:abstractNum w:abstractNumId="25501">
    <w:lvl>
      <w:numFmt w:val="bullet"/>
      <w:suff w:val="tab"/>
      <w:lvlText w:val="￮"/>
      <w:rPr>
        <w:color w:val="3370ff"/>
      </w:rPr>
    </w:lvl>
  </w:abstractNum>
  <w:abstractNum w:abstractNumId="25502">
    <w:lvl>
      <w:numFmt w:val="bullet"/>
      <w:suff w:val="tab"/>
      <w:lvlText w:val="•"/>
      <w:rPr>
        <w:color w:val="3370ff"/>
      </w:rPr>
    </w:lvl>
  </w:abstractNum>
  <w:abstractNum w:abstractNumId="25503">
    <w:lvl>
      <w:numFmt w:val="bullet"/>
      <w:suff w:val="tab"/>
      <w:lvlText w:val="￮"/>
      <w:rPr>
        <w:color w:val="3370ff"/>
      </w:rPr>
    </w:lvl>
  </w:abstractNum>
  <w:abstractNum w:abstractNumId="25504">
    <w:lvl>
      <w:numFmt w:val="bullet"/>
      <w:suff w:val="tab"/>
      <w:lvlText w:val="￮"/>
      <w:rPr>
        <w:color w:val="3370ff"/>
      </w:rPr>
    </w:lvl>
  </w:abstractNum>
  <w:abstractNum w:abstractNumId="25505">
    <w:lvl>
      <w:numFmt w:val="bullet"/>
      <w:suff w:val="tab"/>
      <w:lvlText w:val="•"/>
      <w:rPr>
        <w:color w:val="3370ff"/>
      </w:rPr>
    </w:lvl>
  </w:abstractNum>
  <w:abstractNum w:abstractNumId="25506">
    <w:lvl>
      <w:numFmt w:val="bullet"/>
      <w:suff w:val="tab"/>
      <w:lvlText w:val="￮"/>
      <w:rPr>
        <w:color w:val="3370ff"/>
      </w:rPr>
    </w:lvl>
  </w:abstractNum>
  <w:abstractNum w:abstractNumId="25507">
    <w:lvl>
      <w:numFmt w:val="bullet"/>
      <w:suff w:val="tab"/>
      <w:lvlText w:val="￮"/>
      <w:rPr>
        <w:color w:val="3370ff"/>
      </w:rPr>
    </w:lvl>
  </w:abstractNum>
  <w:abstractNum w:abstractNumId="25508">
    <w:lvl>
      <w:numFmt w:val="bullet"/>
      <w:suff w:val="tab"/>
      <w:lvlText w:val="•"/>
      <w:rPr>
        <w:color w:val="3370ff"/>
      </w:rPr>
    </w:lvl>
  </w:abstractNum>
  <w:abstractNum w:abstractNumId="25509">
    <w:lvl>
      <w:numFmt w:val="bullet"/>
      <w:suff w:val="tab"/>
      <w:lvlText w:val="￮"/>
      <w:rPr>
        <w:color w:val="3370ff"/>
      </w:rPr>
    </w:lvl>
  </w:abstractNum>
  <w:abstractNum w:abstractNumId="25510">
    <w:lvl>
      <w:numFmt w:val="bullet"/>
      <w:suff w:val="tab"/>
      <w:lvlText w:val="￮"/>
      <w:rPr>
        <w:color w:val="3370ff"/>
      </w:rPr>
    </w:lvl>
  </w:abstractNum>
  <w:abstractNum w:abstractNumId="25511">
    <w:lvl>
      <w:numFmt w:val="bullet"/>
      <w:suff w:val="tab"/>
      <w:lvlText w:val="•"/>
      <w:rPr>
        <w:color w:val="3370ff"/>
      </w:rPr>
    </w:lvl>
  </w:abstractNum>
  <w:abstractNum w:abstractNumId="25512">
    <w:lvl>
      <w:numFmt w:val="bullet"/>
      <w:suff w:val="tab"/>
      <w:lvlText w:val="•"/>
      <w:rPr>
        <w:color w:val="3370ff"/>
      </w:rPr>
    </w:lvl>
  </w:abstractNum>
  <w:abstractNum w:abstractNumId="25513">
    <w:lvl>
      <w:numFmt w:val="bullet"/>
      <w:suff w:val="tab"/>
      <w:lvlText w:val="•"/>
      <w:rPr>
        <w:color w:val="3370ff"/>
      </w:rPr>
    </w:lvl>
  </w:abstractNum>
  <w:abstractNum w:abstractNumId="25514">
    <w:lvl>
      <w:numFmt w:val="bullet"/>
      <w:suff w:val="tab"/>
      <w:lvlText w:val="•"/>
      <w:rPr>
        <w:color w:val="3370ff"/>
      </w:rPr>
    </w:lvl>
  </w:abstractNum>
  <w:num w:numId="1">
    <w:abstractNumId w:val="25446"/>
  </w:num>
  <w:num w:numId="2">
    <w:abstractNumId w:val="25447"/>
  </w:num>
  <w:num w:numId="3">
    <w:abstractNumId w:val="25448"/>
  </w:num>
  <w:num w:numId="4">
    <w:abstractNumId w:val="25449"/>
  </w:num>
  <w:num w:numId="5">
    <w:abstractNumId w:val="25450"/>
  </w:num>
  <w:num w:numId="6">
    <w:abstractNumId w:val="25451"/>
  </w:num>
  <w:num w:numId="7">
    <w:abstractNumId w:val="25452"/>
  </w:num>
  <w:num w:numId="8">
    <w:abstractNumId w:val="25453"/>
  </w:num>
  <w:num w:numId="9">
    <w:abstractNumId w:val="25454"/>
  </w:num>
  <w:num w:numId="10">
    <w:abstractNumId w:val="25455"/>
  </w:num>
  <w:num w:numId="11">
    <w:abstractNumId w:val="25456"/>
  </w:num>
  <w:num w:numId="12">
    <w:abstractNumId w:val="25457"/>
  </w:num>
  <w:num w:numId="13">
    <w:abstractNumId w:val="25458"/>
  </w:num>
  <w:num w:numId="14">
    <w:abstractNumId w:val="25459"/>
  </w:num>
  <w:num w:numId="15">
    <w:abstractNumId w:val="25460"/>
  </w:num>
  <w:num w:numId="16">
    <w:abstractNumId w:val="25461"/>
  </w:num>
  <w:num w:numId="17">
    <w:abstractNumId w:val="25462"/>
  </w:num>
  <w:num w:numId="18">
    <w:abstractNumId w:val="25463"/>
  </w:num>
  <w:num w:numId="19">
    <w:abstractNumId w:val="25464"/>
  </w:num>
  <w:num w:numId="20">
    <w:abstractNumId w:val="25465"/>
  </w:num>
  <w:num w:numId="21">
    <w:abstractNumId w:val="25466"/>
  </w:num>
  <w:num w:numId="22">
    <w:abstractNumId w:val="25467"/>
  </w:num>
  <w:num w:numId="23">
    <w:abstractNumId w:val="25468"/>
  </w:num>
  <w:num w:numId="24">
    <w:abstractNumId w:val="25469"/>
  </w:num>
  <w:num w:numId="25">
    <w:abstractNumId w:val="25470"/>
  </w:num>
  <w:num w:numId="26">
    <w:abstractNumId w:val="25471"/>
  </w:num>
  <w:num w:numId="27">
    <w:abstractNumId w:val="25472"/>
  </w:num>
  <w:num w:numId="28">
    <w:abstractNumId w:val="25473"/>
  </w:num>
  <w:num w:numId="29">
    <w:abstractNumId w:val="25474"/>
  </w:num>
  <w:num w:numId="30">
    <w:abstractNumId w:val="25475"/>
  </w:num>
  <w:num w:numId="31">
    <w:abstractNumId w:val="25476"/>
  </w:num>
  <w:num w:numId="32">
    <w:abstractNumId w:val="25477"/>
  </w:num>
  <w:num w:numId="33">
    <w:abstractNumId w:val="25478"/>
  </w:num>
  <w:num w:numId="34">
    <w:abstractNumId w:val="25479"/>
  </w:num>
  <w:num w:numId="35">
    <w:abstractNumId w:val="25480"/>
  </w:num>
  <w:num w:numId="36">
    <w:abstractNumId w:val="25481"/>
  </w:num>
  <w:num w:numId="37">
    <w:abstractNumId w:val="25482"/>
  </w:num>
  <w:num w:numId="38">
    <w:abstractNumId w:val="25483"/>
  </w:num>
  <w:num w:numId="39">
    <w:abstractNumId w:val="25484"/>
  </w:num>
  <w:num w:numId="40">
    <w:abstractNumId w:val="25485"/>
  </w:num>
  <w:num w:numId="41">
    <w:abstractNumId w:val="25486"/>
  </w:num>
  <w:num w:numId="42">
    <w:abstractNumId w:val="25487"/>
  </w:num>
  <w:num w:numId="43">
    <w:abstractNumId w:val="25488"/>
  </w:num>
  <w:num w:numId="44">
    <w:abstractNumId w:val="25489"/>
  </w:num>
  <w:num w:numId="45">
    <w:abstractNumId w:val="25490"/>
  </w:num>
  <w:num w:numId="46">
    <w:abstractNumId w:val="25491"/>
  </w:num>
  <w:num w:numId="47">
    <w:abstractNumId w:val="25492"/>
  </w:num>
  <w:num w:numId="48">
    <w:abstractNumId w:val="25493"/>
  </w:num>
  <w:num w:numId="49">
    <w:abstractNumId w:val="25494"/>
  </w:num>
  <w:num w:numId="50">
    <w:abstractNumId w:val="25495"/>
  </w:num>
  <w:num w:numId="51">
    <w:abstractNumId w:val="25496"/>
  </w:num>
  <w:num w:numId="52">
    <w:abstractNumId w:val="25497"/>
  </w:num>
  <w:num w:numId="53">
    <w:abstractNumId w:val="25498"/>
  </w:num>
  <w:num w:numId="54">
    <w:abstractNumId w:val="25499"/>
  </w:num>
  <w:num w:numId="55">
    <w:abstractNumId w:val="25500"/>
  </w:num>
  <w:num w:numId="56">
    <w:abstractNumId w:val="25501"/>
  </w:num>
  <w:num w:numId="57">
    <w:abstractNumId w:val="25502"/>
  </w:num>
  <w:num w:numId="58">
    <w:abstractNumId w:val="25503"/>
  </w:num>
  <w:num w:numId="59">
    <w:abstractNumId w:val="25504"/>
  </w:num>
  <w:num w:numId="60">
    <w:abstractNumId w:val="25505"/>
  </w:num>
  <w:num w:numId="61">
    <w:abstractNumId w:val="25506"/>
  </w:num>
  <w:num w:numId="62">
    <w:abstractNumId w:val="25507"/>
  </w:num>
  <w:num w:numId="63">
    <w:abstractNumId w:val="25508"/>
  </w:num>
  <w:num w:numId="64">
    <w:abstractNumId w:val="25509"/>
  </w:num>
  <w:num w:numId="65">
    <w:abstractNumId w:val="25510"/>
  </w:num>
  <w:num w:numId="66">
    <w:abstractNumId w:val="25511"/>
  </w:num>
  <w:num w:numId="67">
    <w:abstractNumId w:val="25512"/>
  </w:num>
  <w:num w:numId="68">
    <w:abstractNumId w:val="25513"/>
  </w:num>
  <w:num w:numId="69">
    <w:abstractNumId w:val="255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2026-08-06T17:42:09Z</dcterms:created>
  <dc:creator>Apache POI</dc:creator>
</cp:coreProperties>
</file>