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Holsen — UAT Sign-Off Checklist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HOLSEN INTERCHEM SDN. BHD.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MAIA — UAT Acceptance &amp; Sign-Off Checklist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Purpose.</w:t>
      </w:r>
      <w:r>
        <w:rPr>
          <w:rFonts w:eastAsia="等线" w:ascii="Arial" w:cs="Arial" w:hAnsi="Arial"/>
          <w:sz w:val="22"/>
        </w:rPr>
        <w:t xml:space="preserve"> This checklist records User Acceptance Testing sign-off for the MAIA implementation at Holsen Interchem Sdn. Bhd., against the signed SOW effective 10 December 2025 and Holsen's current, client-confirmed operating model (corrected 2026-08-03). Section 4 is completed by circling Pass or Fail for each item during the in-person UAT session. The signed and annotated copy serves as the acceptance record. Where the SOW and Holsen's current operating model differ, the current operating model prevails for acceptance; this checklist does not expand the signed commercial scope. This round tests items marked </w:t>
      </w:r>
      <w:r>
        <w:rPr>
          <w:rFonts w:eastAsia="等线" w:ascii="Arial" w:cs="Arial" w:hAnsi="Arial"/>
          <w:b w:val="true"/>
          <w:sz w:val="22"/>
        </w:rPr>
        <w:t>LOCKED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等线" w:ascii="Arial" w:cs="Arial" w:hAnsi="Arial"/>
          <w:b w:val="true"/>
          <w:sz w:val="22"/>
        </w:rPr>
        <w:t>LOCKED (SUPERSEDED)</w:t>
      </w:r>
      <w:r>
        <w:rPr>
          <w:rFonts w:eastAsia="等线" w:ascii="Arial" w:cs="Arial" w:hAnsi="Arial"/>
          <w:sz w:val="22"/>
        </w:rPr>
        <w:t xml:space="preserve"> in the Holsen Scope Lock v2 only — items still AGREED IN PRINCIPLE or NEEDS SCOPING are out of this round's acceptance scope (Section 3).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Parties &amp; Agreement Reference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60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SOW effective date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December 2025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Service provider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Mindhive Sdn. Bhd.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Holsen Interchem Sdn. Bhd. (Reg. 0181344H / 198901004037)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Client address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No.16, Jalan Anggerik Mokara 31/44, Kota Kemuning, Seksyen 31, 40460 Shah Alam, Selangor Darul Ehsan, Malaysia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System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— order-to-cash chatbot and workspace covering Sales, Logistics, and Finance, sitting alongside Holsen's UBS accounting system during transition to SQL Accounting on-prem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UAT sign-off date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August 2026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MAIA Scope for Holsen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Holsen is a B2B industrial chemical distribution and surface treatment company running high transaction volumes (~70–90 customer POs daily) across trading, manufacturing, and controlled/regulated chemical products. The table below states how MAIA supports that model and is the basis for the checklist that follows.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5670"/>
      </w:tblGrid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MAIA supports Holsen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Operations focus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intake, Sales Order creation, batch-linked picking, Delivery Note, Invoice, and C1/C3 tax-compliance enforcement. UBS/SQL remains the accounting system of record; MAIA feeds it, not the reverse.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Conversational input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Salesman uploads the customer PO into MAIA via chatbot — WhatsApp at go-live, Telegram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@maia_holsen_bot</w:t>
            </w:r>
            <w:r>
              <w:rPr>
                <w:rFonts w:eastAsia="等线" w:ascii="Arial" w:cs="Arial" w:hAnsi="Arial"/>
                <w:sz w:val="22"/>
              </w:rPr>
              <w:t>) for UAT — as text, photo, or PDF.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flow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Salesman uploads PO → MAIA drafts the Sales Order → Salesman reviews/confirms price → </w:t>
            </w:r>
            <w:r>
              <w:rPr>
                <w:rFonts w:eastAsia="等线" w:ascii="Arial" w:cs="Arial" w:hAnsi="Arial"/>
                <w:b w:val="true"/>
                <w:sz w:val="22"/>
              </w:rPr>
              <w:t>Logistics checks and submits the SO</w:t>
            </w:r>
            <w:r>
              <w:rPr>
                <w:rFonts w:eastAsia="等线" w:ascii="Arial" w:cs="Arial" w:hAnsi="Arial"/>
                <w:sz w:val="22"/>
              </w:rPr>
              <w:t xml:space="preserve"> (not Sales, not Finance) → Logistics assigns batch on the SO (indicative) → converts SO to Pick List → </w:t>
            </w:r>
            <w:r>
              <w:rPr>
                <w:rFonts w:eastAsia="等线" w:ascii="Arial" w:cs="Arial" w:hAnsi="Arial"/>
                <w:b w:val="true"/>
                <w:sz w:val="22"/>
              </w:rPr>
              <w:t>binding batch selection happens on the Pick List</w:t>
            </w:r>
            <w:r>
              <w:rPr>
                <w:rFonts w:eastAsia="等线" w:ascii="Arial" w:cs="Arial" w:hAnsi="Arial"/>
                <w:sz w:val="22"/>
              </w:rPr>
              <w:t xml:space="preserve"> → Warehouse picks and uploads quantity → Logistics creates the Delivery Note → Finance creates the Invoice.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 &amp; tax defaults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Trading items default to price RM0 (manual entry, unless a customer-specific price exists) and 0% SST; Manufacturing items default to 10% SST — separate from C1/C3 certificate exemptions.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C1/C3 compliance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Certificates (C1 perpetual manufacturer exemption, C3 per-order import-on-behalf exemption) are created/uploaded, linked to the customer, applied to the SO, checked against tariff (HS) code, and block submission if an item isn't covered.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Holsen has no delivery fleet — all deliveries go via third-party transporters (Menaka local; GMax, Tiong Nam Logistics outstation).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Roles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(Tam Ze Xin, Ng Tze Chien), Logistics (Noor Aili Nafiah — Logistics; Intan Atikah — Procurement; Murugesu A/L Palanivello — Production), Finance (Wong Shui Fern), Admin (Ong Siow Chui), System Admin (Tam Ze Xin, Chin Zhao Heng — full access).</w:t>
            </w:r>
          </w:p>
        </w:tc>
      </w:tr>
      <w:tr>
        <w:tc>
          <w:tcPr>
            <w:tcW w:w="2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Confirmation before posting</w:t>
            </w:r>
          </w:p>
        </w:tc>
        <w:tc>
          <w:tcPr>
            <w:tcW w:w="5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Any document that commits stock, price, or credit exposure requires explicit user submission — no silent auto-posting.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Scope Boundaries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In scope: the capabilities listed in Section 2 and demonstrated in the Section 4 checklist, per Holsen Scope Lock v2 items marked </w:t>
      </w:r>
      <w:r>
        <w:rPr>
          <w:rFonts w:eastAsia="等线" w:ascii="Arial" w:cs="Arial" w:hAnsi="Arial"/>
          <w:b w:val="true"/>
          <w:sz w:val="22"/>
        </w:rPr>
        <w:t>LOCKED</w:t>
      </w:r>
      <w:r>
        <w:rPr>
          <w:rFonts w:eastAsia="等线" w:ascii="Arial" w:cs="Arial" w:hAnsi="Arial"/>
          <w:sz w:val="22"/>
        </w:rPr>
        <w:t xml:space="preserve"> or </w:t>
      </w:r>
      <w:r>
        <w:rPr>
          <w:rFonts w:eastAsia="等线" w:ascii="Arial" w:cs="Arial" w:hAnsi="Arial"/>
          <w:b w:val="true"/>
          <w:sz w:val="22"/>
        </w:rPr>
        <w:t>LOCKED (SUPERSEDED)</w:t>
      </w:r>
      <w:r>
        <w:rPr>
          <w:rFonts w:eastAsia="等线" w:ascii="Arial" w:cs="Arial" w:hAnsi="Arial"/>
          <w:sz w:val="22"/>
        </w:rPr>
        <w:t>.</w:t>
        <w:br/>
      </w:r>
      <w:r>
        <w:rPr>
          <w:rFonts w:eastAsia="等线" w:ascii="Arial" w:cs="Arial" w:hAnsi="Arial"/>
          <w:sz w:val="22"/>
        </w:rPr>
        <w:t>Out of scope (this UAT round): the items below.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75"/>
        <w:gridCol w:w="4605"/>
      </w:tblGrid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 of scope this round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Treatment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 allocation lock across mixed-C3-exemption customers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Confirmed unbuilt, deferred to next phase (A3)</w:t>
            </w:r>
            <w:r>
              <w:rPr>
                <w:rFonts w:eastAsia="等线" w:ascii="Arial" w:cs="Arial" w:hAnsi="Arial"/>
                <w:sz w:val="22"/>
              </w:rPr>
              <w:t xml:space="preserve"> — client-flagged as the most critical open item in that phase, but not part of this round's acceptance. Do not test; do not log its absence as a bug. (Scope Lock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SL-30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Salesperson performance dashboard (volume-based)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Direction agreed, build detail (unit, period, visibility) not yet defined — observe only if encountered, not a pass/fail item this round.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SL-41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Role-based dashboard widgets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Underlying permission matrix is locked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SL-16</w:t>
            </w:r>
            <w:r>
              <w:rPr>
                <w:rFonts w:eastAsia="等线" w:ascii="Arial" w:cs="Arial" w:hAnsi="Arial"/>
                <w:sz w:val="22"/>
              </w:rPr>
              <w:t>), but per-role dashboard widget content is not — do not test as pass/fail.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SL-11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SQL migration / API integration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Migration to SQL Accounting on-prem starts ~August 2026; sync mechanics not yet built or testable.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SL-12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Credit-limit approval workflow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Built but not yet switched on — needs Tam Ze Xin's sign-off before enabling. Not tested this round.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SL-38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Finance-approval-before-DN gate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Config Overlay describes this step; the current confirmed flow has Logistics submitting the SO directly. Whether a Finance/credit check happens elsewhere is unresolved — do not test as if the gate exists.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SL-36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Low/out-of-stock alerts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Non-blocking, to be tested separately — not part of this round's pass/fail scope.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SL-13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  <w:tr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COA / K1 masking or structured fields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Interim decision: both handled as plain attachments at doctype level for now — do not test for structured masking logic, which isn't built. (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SL-8</w:t>
            </w:r>
            <w:r>
              <w:rPr>
                <w:rFonts w:eastAsia="等线" w:ascii="Arial" w:cs="Arial" w:hAnsi="Arial"/>
                <w:sz w:val="22"/>
              </w:rPr>
              <w:t xml:space="preserve">,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SL-9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Functional Acceptance Checklist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How to complete.</w:t>
      </w:r>
      <w:r>
        <w:rPr>
          <w:rFonts w:eastAsia="等线" w:ascii="Arial" w:cs="Arial" w:hAnsi="Arial"/>
          <w:sz w:val="22"/>
        </w:rPr>
        <w:t xml:space="preserve"> During the in-person UAT session, circle Pass or Fail in the Result column for each item. Items marked Fail are recorded as open/deferred items in the Section 7 declaration.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2895"/>
        <w:gridCol w:w="2910"/>
        <w:gridCol w:w="1005"/>
      </w:tblGrid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Capability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is demonstrated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A. Access &amp; Input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Registered-user access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chatbot access is restricted to registered/authorised Holsen users.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 upload &amp; extraction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Salesman uploads a customer PO (text, photo, or PDF); MAIA correctly extracts customer, items, quantities, and delivery date.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B. Sales Order Creation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Draft SO from PO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MAIA drafts a Sales Order from the uploaded PO; Salesman can review and correct extraction errors.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Duplicate PO check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Uploading a PO with the same customer + PO number as an existing order is blocked as a duplicate.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Minimum price check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Entering a price below the item's configured minimum triggers a warning/block at submission.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Trading item default price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Trading-tagged item defaults to RM0 and requires manual price entry, unless a customer-specific price is already on file, in which case that price is used automatically.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Tax defaults by SKU tag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Trading items default to 0% SST; Manufacturing items default to 10% SST.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C. Logistics — SO Check, Batch, Pick List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checks &amp; submits SO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submitted-for-fulfilment gate is Logistics reviewing and submitting the SO — not Sales, not Finance.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 entry at SO stage (indicative)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batch number can be entered on the SO itself, but does not lock or commit stock at this stage.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SO → Pick List conversion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converts the submitted, batch-noted SO into a Pick List.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 selection at Pick List (binding)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batch number selected on the Pick List is the one that actually deducts stock.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Pick List link notification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staff are notified and receive a direct link to the Pick List to update picked quantity.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picks &amp; uploads quantity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Warehouse records picked quantity against the Pick List; Pick List is marked Complete once done.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D. Delivery &amp; Invoice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Note creation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Logistics creates the DN once the Pick List is complete; the batch number carries forward (via the Additional Notes field).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Third-party delivery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 is dispatched via a third-party transporter (Menaka for local, GMax/Tiong Nam Logistics for outstation) — no own-fleet option is presented.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Invoice creation &amp; SQL sync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Finance creates the Invoice in MAIA from the DN; the invoice syncs to SQL as the downstream accounting record.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due date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Payment due date defaults to invoice creation date + 30 days (Net 30), not the delivery date.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 discount display on customer PDFs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Customer-facing DN/Invoice PDFs do not display a discount line.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E. C1/C3 Tax Compliance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certificate create + PDF upload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C1 certificate can be created manually or by PDF upload, and links correctly to the customer.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Apply C1 to Sales Order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certificate applies to an SO correctly for both full and partial (overlap) item coverage.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certificate create + apply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C3 certificate is created with PO/appointment-letter reference and applies to the relevant SO.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Submit-block on uncovered item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 SO line item not covered by the certificate's tariff (HS) code blocks submission until resolved.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Mixed C1/C3 order handling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When an order mixes certificate-covered and non-covered items, MAIA prompts to confirm/remove the ineligible items rather than silently blocking the whole order.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C1/C3 at DN/Invoice stage — RETEST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The same submit-block/confirmation-prompt pattern confirmed at SO level (items 19–23) also holds once the order reaches Delivery Note and Invoice stage. </w:t>
            </w:r>
            <w:r>
              <w:rPr>
                <w:rFonts w:eastAsia="等线" w:ascii="Arial" w:cs="Arial" w:hAnsi="Arial"/>
                <w:b w:val="true"/>
                <w:sz w:val="22"/>
              </w:rPr>
              <w:t>This specific item was never successfully tested before — retest fresh this session</w:t>
            </w:r>
            <w:r>
              <w:rPr>
                <w:rFonts w:eastAsia="等线" w:ascii="Arial" w:cs="Arial" w:hAnsi="Arial"/>
                <w:sz w:val="22"/>
              </w:rPr>
              <w:t>, now that batch mechanics (items 9–14) are clarified and no longer the blocker.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F. Roles &amp; Permissions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Role-based access matches confirmed matrix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— read-only on SO, full rights on Quotation/PO. Logistics (Logistics) — full CRUD+submit on SO/DN/Pick List/Inventory. Logistics (Procurement) — read + submit-only on SO/DN. Finance — full CRUD+submit on Invoice/Payment/SO/DN. Admin/System Admin — full access.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G. Documents &amp; Attachments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COA attachment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Certificate of Analysis is attached at the doctype level (as a file), correctly linked to the relevant batch/order.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28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 attachment</w:t>
            </w:r>
          </w:p>
        </w:tc>
        <w:tc>
          <w:tcPr>
            <w:tcW w:w="29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K1 customs documentation is attached at the doctype level (as a file), correctly linked to the relevant C3 order.</w:t>
            </w:r>
          </w:p>
        </w:tc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5. Acceptance Criteria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Each criterion below is accepted when demonstrated successfully during the UAT session. These criteria carry forward the LOCKED items of the Holsen Scope Lock v2.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570"/>
        <w:gridCol w:w="1710"/>
      </w:tblGrid>
      <w:tr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Acceptance criterion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</w:t>
            </w:r>
          </w:p>
        </w:tc>
      </w:tr>
      <w:tr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Orders are captured correctly from PO upload through to a reviewable draft Sales Order, with duplicate and minimum-price checks enforced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 handling operates correctly across its two touchpoints — indicative entry at SO, binding selection at Pick List — and carries forward to DN/Invoice via Additional Notes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Standard document flow (SO → Pick List → DN → Invoice) operates correctly, with the correct roles (Logistics for SO/DN, Finance for Invoice) owning each step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C1/C3 certificate enforcement works correctly at the Sales Order stage, and is successfully retested at the Delivery Note/Invoice stage this session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Pricing and tax defaults (Trading RM0/0%, Manufacturing 10% SST) apply correctly by SKU classification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  <w:tr>
        <w:tc>
          <w:tcPr>
            <w:tcW w:w="6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Role-based permissions match the confirmed Customer Onboarding Checklist matrix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 / Fail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6. Open Decisions — Not Scored This Round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 confirm with Holsen, tracked separately from pass/fail acceptance: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6a. Batch allocation across mixed-exemption customers (</w:t>
      </w:r>
      <w:r>
        <w:rPr>
          <w:rFonts w:eastAsia="Consolas" w:ascii="Consolas" w:cs="Consolas" w:hAnsi="Consolas"/>
          <w:b w:val="true"/>
          <w:sz w:val="22"/>
          <w:shd w:fill="EFF0F1"/>
        </w:rPr>
        <w:t>SL-30</w:t>
      </w:r>
      <w:r>
        <w:rPr>
          <w:rFonts w:eastAsia="等线" w:ascii="Arial" w:cs="Arial" w:hAnsi="Arial"/>
          <w:b w:val="true"/>
          <w:sz w:val="22"/>
        </w:rPr>
        <w:t>).</w:t>
      </w:r>
      <w:r>
        <w:rPr>
          <w:rFonts w:eastAsia="等线" w:ascii="Arial" w:cs="Arial" w:hAnsi="Arial"/>
          <w:sz w:val="22"/>
        </w:rPr>
        <w:t xml:space="preserve"> Holsen has flagged the inability to reserve/lock a portion of a split batch to one C3-exempt customer as more critical than any other open item. Confirmed deferred to the next phase (A3) — not scored in this UAT round, but should be the top scoping priority once A3 planning begins.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6b. Finance-approval-before-DN gate (</w:t>
      </w:r>
      <w:r>
        <w:rPr>
          <w:rFonts w:eastAsia="Consolas" w:ascii="Consolas" w:cs="Consolas" w:hAnsi="Consolas"/>
          <w:b w:val="true"/>
          <w:sz w:val="22"/>
          <w:shd w:fill="EFF0F1"/>
        </w:rPr>
        <w:t>SL-36</w:t>
      </w:r>
      <w:r>
        <w:rPr>
          <w:rFonts w:eastAsia="等线" w:ascii="Arial" w:cs="Arial" w:hAnsi="Arial"/>
          <w:b w:val="true"/>
          <w:sz w:val="22"/>
        </w:rPr>
        <w:t>).</w:t>
      </w:r>
      <w:r>
        <w:rPr>
          <w:rFonts w:eastAsia="等线" w:ascii="Arial" w:cs="Arial" w:hAnsi="Arial"/>
          <w:sz w:val="22"/>
        </w:rPr>
        <w:t xml:space="preserve"> Is a Finance/credit-limit check expected to happen anywhere before the Delivery Note is created, given Logistics now submits the SO directly? To confirm with Tam Ze Xin.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6c. UAT signatory (</w:t>
      </w:r>
      <w:r>
        <w:rPr>
          <w:rFonts w:eastAsia="Consolas" w:ascii="Consolas" w:cs="Consolas" w:hAnsi="Consolas"/>
          <w:b w:val="true"/>
          <w:sz w:val="22"/>
          <w:shd w:fill="EFF0F1"/>
        </w:rPr>
        <w:t>SL-40</w:t>
      </w:r>
      <w:r>
        <w:rPr>
          <w:rFonts w:eastAsia="等线" w:ascii="Arial" w:cs="Arial" w:hAnsi="Arial"/>
          <w:b w:val="true"/>
          <w:sz w:val="22"/>
        </w:rPr>
        <w:t>).</w:t>
      </w:r>
      <w:r>
        <w:rPr>
          <w:rFonts w:eastAsia="等线" w:ascii="Arial" w:cs="Arial" w:hAnsi="Arial"/>
          <w:sz w:val="22"/>
        </w:rPr>
        <w:t xml:space="preserve"> No named UAT signatory has been formally confirmed for Holsen anywhere in the project record. Section 8 below proposes Tam Ze Xin (primary contact, Sales/Admin-Operations) — confirm this is correct, or name the actual authorised signatory.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Decision (to confirm in this session): 6b — [ ] Finance gate exists, describe where: __________ [ ] No gate, confirmed as-is • 6c — [ ] Tam Ze Xin confirmed as signatory [ ] Different signatory: __________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7. Acceptance Declaration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acceptance statement.</w:t>
      </w:r>
      <w:r>
        <w:rPr>
          <w:rFonts w:eastAsia="等线" w:ascii="Arial" w:cs="Arial" w:hAnsi="Arial"/>
          <w:sz w:val="22"/>
        </w:rPr>
        <w:t xml:space="preserve"> By signing this checklist, Holsen Interchem Sdn. Bhd. confirms that the MAIA implementation has been demonstrated and reviewed, for the items covered in this UAT session, against the scope in Section 2 and the criteria in Sections 4 and 5.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Pass / Fail annotation.</w:t>
      </w:r>
      <w:r>
        <w:rPr>
          <w:rFonts w:eastAsia="等线" w:ascii="Arial" w:cs="Arial" w:hAnsi="Arial"/>
          <w:sz w:val="22"/>
        </w:rPr>
        <w:t xml:space="preserve"> Items marked Pass are accepted as meeting the relevant expectation. Items marked Fail, or not yet demonstrated this round, are carried forward as open/deferred items unless both parties agree in writing to exclude them.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Commercial note.</w:t>
      </w:r>
      <w:r>
        <w:rPr>
          <w:rFonts w:eastAsia="等线" w:ascii="Arial" w:cs="Arial" w:hAnsi="Arial"/>
          <w:sz w:val="22"/>
        </w:rPr>
        <w:t xml:space="preserve"> Holsen's remaining payment balance at Phase 1 closure (30%, not the standard 50%) is tied specifically to A3 (batch/compliance) shipping — this checklist's Section 4 items are the Phase 1/Core-MAIA acceptance record, not the A3 commercial trigger. Item 24 (C1/C3 DN/Invoice retest) and Section 6a (batch allocation) bear directly on the A3 commercial discussion.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Evidence.</w:t>
      </w:r>
      <w:r>
        <w:rPr>
          <w:rFonts w:eastAsia="等线" w:ascii="Arial" w:cs="Arial" w:hAnsi="Arial"/>
          <w:sz w:val="22"/>
        </w:rPr>
        <w:t xml:space="preserve"> This checklist intentionally excludes internal test notes, screenshots and chat logs. The signed and annotated copy serves as the acceptance record for this round.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Sign-off selection: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Accepted — all items in Section 4 marked Pass.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Accepted with carry-forward — items demonstrated this round annotated above; remaining/failed items to be retested at a follow-up session.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accepted — retest required before this round can be considered complete.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8. Authorised Signatures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00"/>
        <w:gridCol w:w="4380"/>
      </w:tblGrid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 Holsen Interchem Sdn. Bhd.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Signature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Tam Ze Xin </w:t>
            </w:r>
            <w:r>
              <w:rPr>
                <w:rFonts w:eastAsia="等线" w:ascii="Arial" w:cs="Arial" w:hAnsi="Arial"/>
                <w:i w:val="true"/>
                <w:sz w:val="22"/>
              </w:rPr>
              <w:t>(proposed — signatory not formally confirmed, see Section 6c)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/ Admin &amp; Operations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45"/>
        <w:gridCol w:w="2595"/>
      </w:tblGrid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For Mindhive Sdn. Bhd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Signature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Name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[TO FILL]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[TO FILL]</w:t>
            </w:r>
          </w:p>
        </w:tc>
      </w:tr>
      <w:tr>
        <w:tc>
          <w:tcPr>
            <w:tcW w:w="33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989">
    <w:lvl>
      <w:numFmt w:val="bullet"/>
      <w:suff w:val="space"/>
      <w:lvlText w:val="□"/>
    </w:lvl>
  </w:abstractNum>
  <w:abstractNum w:abstractNumId="75990">
    <w:lvl>
      <w:numFmt w:val="bullet"/>
      <w:suff w:val="space"/>
      <w:lvlText w:val="□"/>
    </w:lvl>
  </w:abstractNum>
  <w:abstractNum w:abstractNumId="75991">
    <w:lvl>
      <w:numFmt w:val="bullet"/>
      <w:suff w:val="space"/>
      <w:lvlText w:val="□"/>
    </w:lvl>
  </w:abstractNum>
  <w:num w:numId="1">
    <w:abstractNumId w:val="75989"/>
  </w:num>
  <w:num w:numId="2">
    <w:abstractNumId w:val="75990"/>
  </w:num>
  <w:num w:numId="3">
    <w:abstractNumId w:val="7599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2026-08-06T17:43:53Z</dcterms:created>
  <dc:creator>Apache POI</dc:creator>
</cp:coreProperties>
</file>