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Holsen SOW</w:t>
      </w:r>
    </w:p>
    <w:p>
      <w:pPr>
        <w:spacing w:before="120" w:after="120" w:line="288" w:lineRule="auto"/>
        <w:ind w:left="0"/>
        <w:jc w:val="left"/>
      </w:pPr>
      <w:r>
        <w:rPr>
          <w:rFonts w:eastAsia="等线" w:ascii="Arial" w:cs="Arial" w:hAnsi="Arial"/>
          <w:sz w:val="22"/>
        </w:rPr>
        <w:t xml:space="preserve">The Services Agreement is made effective as of </w:t>
      </w:r>
      <w:r>
        <w:rPr>
          <w:rFonts w:eastAsia="等线" w:ascii="Arial" w:cs="Arial" w:hAnsi="Arial"/>
          <w:b w:val="true"/>
          <w:sz w:val="22"/>
        </w:rPr>
        <w:t>11th November 2025</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90"/>
        <w:gridCol w:w="1035"/>
        <w:gridCol w:w="5955"/>
      </w:tblGrid>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BETWEEN</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Vendor</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Mindhive Sdn Bhd (“Mindhive”), with its office located at 7, Jln Penyajak U1/45A, Hicom-glenmarie Industrial Park, 40150 Shah Alam, Selangor.</w:t>
            </w:r>
          </w:p>
        </w:tc>
      </w:tr>
      <w:tr>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AND</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Client</w:t>
            </w:r>
          </w:p>
        </w:tc>
        <w:tc>
          <w:tcPr>
            <w:tcW w:w="59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 INTERCHEM SDN. BHD. ("Holsen"), with its office located at No.16, Jalan Anggerik Mokara 31/44, Kota Kemuning, Seksyen 31, 40460 Shah Alam, Selangor D.E., Malaysia.</w:t>
            </w:r>
          </w:p>
        </w:tc>
      </w:tr>
    </w:tbl>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Introduction</w:t>
      </w:r>
      <w:bookmarkEnd w:id="0"/>
    </w:p>
    <w:p>
      <w:pPr>
        <w:numPr>
          <w:numId w:val="1"/>
        </w:numPr>
        <w:spacing w:before="120" w:after="120" w:line="288" w:lineRule="auto"/>
        <w:ind w:left="0"/>
        <w:jc w:val="left"/>
      </w:pPr>
      <w:r>
        <w:rPr>
          <w:rFonts w:eastAsia="等线" w:ascii="Arial" w:cs="Arial" w:hAnsi="Arial"/>
          <w:b w:val="true"/>
          <w:sz w:val="22"/>
        </w:rPr>
        <w:t>About MAIA</w:t>
      </w:r>
    </w:p>
    <w:p>
      <w:pPr>
        <w:spacing w:before="120" w:after="120" w:line="288" w:lineRule="auto"/>
        <w:ind w:left="0"/>
        <w:jc w:val="left"/>
      </w:pPr>
      <w:r>
        <w:rPr>
          <w:rFonts w:eastAsia="等线" w:ascii="Arial" w:cs="Arial" w:hAnsi="Arial"/>
          <w:sz w:val="22"/>
        </w:rPr>
        <w:t>MAIA is a next-generation business platform that unifies sales, fulfillment, communications, logistics, and finance into a single ecosystem. It is designed as a modular, cloud-based solution where each module can function independently yet integrates seamlessly into the wider MAIA environment. This ensures flexibility for smaller businesses while delivering enterprise-level scalability and control. Our vision is to help organizations manage their entire sales and operational lifecycle from a single, intelligent system — increasing efficiency, improving customer engagement, and enabling growth.</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Purpose of Document</w:t>
      </w:r>
    </w:p>
    <w:p>
      <w:pPr>
        <w:spacing w:before="120" w:after="120" w:line="288" w:lineRule="auto"/>
        <w:ind w:left="0"/>
        <w:jc w:val="left"/>
      </w:pPr>
      <w:r>
        <w:rPr>
          <w:rFonts w:eastAsia="等线" w:ascii="Arial" w:cs="Arial" w:hAnsi="Arial"/>
          <w:sz w:val="22"/>
        </w:rPr>
        <w:t>To establish the baseline specifications, service level commitments, and commercial framework for the deployment and ongoing use of MAIA between the Vendor and the Client.</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sz w:val="22"/>
        </w:rPr>
        <w:t>Mutual Commitment</w:t>
      </w:r>
    </w:p>
    <w:p>
      <w:pPr>
        <w:spacing w:before="120" w:after="120" w:line="288" w:lineRule="auto"/>
        <w:ind w:left="0"/>
        <w:jc w:val="left"/>
      </w:pPr>
      <w:r>
        <w:rPr>
          <w:rFonts w:eastAsia="等线" w:ascii="Arial" w:cs="Arial" w:hAnsi="Arial"/>
          <w:sz w:val="22"/>
        </w:rPr>
        <w:t>This document sets out the expectations and obligations of both parties to ensure a successful business engagement.</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1.1 </w:t>
      </w:r>
      <w:r>
        <w:rPr>
          <w:rFonts w:eastAsia="等线" w:ascii="Arial" w:cs="Arial" w:hAnsi="Arial"/>
          <w:b w:val="true"/>
          <w:sz w:val="32"/>
        </w:rPr>
        <w:t>Enterprise Baseline Modules</w:t>
      </w:r>
      <w:bookmarkEnd w:id="1"/>
    </w:p>
    <w:p>
      <w:pPr>
        <w:spacing w:before="120" w:after="120" w:line="288" w:lineRule="auto"/>
        <w:ind w:left="0"/>
        <w:jc w:val="left"/>
      </w:pPr>
      <w:r>
        <w:rPr>
          <w:rFonts w:eastAsia="等线" w:ascii="Arial" w:cs="Arial" w:hAnsi="Arial"/>
          <w:sz w:val="22"/>
        </w:rPr>
        <w:t>The following sections outline the baseline modules included in MAIA Enterprise, with their scope and product specifications:</w:t>
      </w:r>
    </w:p>
    <w:p>
      <w:pPr>
        <w:numPr>
          <w:numId w:val="4"/>
        </w:numPr>
        <w:spacing w:before="120" w:after="120" w:line="288" w:lineRule="auto"/>
        <w:ind w:left="0"/>
        <w:jc w:val="left"/>
      </w:pPr>
      <w:r>
        <w:rPr>
          <w:rFonts w:eastAsia="等线" w:ascii="Arial" w:cs="Arial" w:hAnsi="Arial"/>
          <w:sz w:val="22"/>
        </w:rPr>
        <w:t>Internal Chatbots</w:t>
      </w:r>
    </w:p>
    <w:p>
      <w:pPr>
        <w:numPr>
          <w:numId w:val="5"/>
        </w:numPr>
        <w:spacing w:before="120" w:after="120" w:line="288" w:lineRule="auto"/>
        <w:ind w:left="0"/>
        <w:jc w:val="left"/>
      </w:pPr>
      <w:r>
        <w:rPr>
          <w:rFonts w:eastAsia="等线" w:ascii="Arial" w:cs="Arial" w:hAnsi="Arial"/>
          <w:sz w:val="22"/>
        </w:rPr>
        <w:t>User Workspaces</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Product Specifications</w:t>
      </w:r>
      <w:bookmarkEnd w:id="2"/>
    </w:p>
    <w:p>
      <w:pPr>
        <w:spacing w:before="120" w:after="120" w:line="288" w:lineRule="auto"/>
        <w:ind w:left="0"/>
        <w:jc w:val="left"/>
      </w:pPr>
      <w:r>
        <w:rPr>
          <w:rFonts w:eastAsia="等线" w:ascii="Arial" w:cs="Arial" w:hAnsi="Arial"/>
          <w:sz w:val="22"/>
        </w:rPr>
        <w:t>The following section highlights in detail the modules that Mackessen would be receiving and also the features of the modules. Each module is carefully designed with scalability, configurability, and high availability in mind, ensuring it can fit into Holsen’s business process. The system is engineered with support for handling hundreds of thousands of transactions per day.</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color w:val="3370ff"/>
          <w:sz w:val="32"/>
        </w:rPr>
        <w:t xml:space="preserve">2.1 </w:t>
      </w:r>
      <w:r>
        <w:rPr>
          <w:rFonts w:eastAsia="等线" w:ascii="Arial" w:cs="Arial" w:hAnsi="Arial"/>
          <w:b w:val="true"/>
          <w:sz w:val="32"/>
        </w:rPr>
        <w:t>Internal Chatbot (B2B Sales)</w:t>
      </w:r>
      <w:bookmarkEnd w:id="3"/>
    </w:p>
    <w:p>
      <w:pPr>
        <w:pStyle w:val="3"/>
        <w:spacing w:before="300" w:after="120" w:line="288" w:lineRule="auto"/>
        <w:ind w:left="0"/>
        <w:jc w:val="left"/>
        <w:outlineLvl w:val="2"/>
      </w:pPr>
      <w:bookmarkStart w:name="heading_4" w:id="4"/>
      <w:r>
        <w:rPr>
          <w:rFonts w:eastAsia="等线" w:ascii="Arial" w:cs="Arial" w:hAnsi="Arial"/>
          <w:color w:val="3370ff"/>
          <w:sz w:val="30"/>
        </w:rPr>
        <w:t xml:space="preserve">2.1.1 </w:t>
      </w:r>
      <w:r>
        <w:rPr>
          <w:rFonts w:eastAsia="等线" w:ascii="Arial" w:cs="Arial" w:hAnsi="Arial"/>
          <w:b w:val="true"/>
          <w:sz w:val="30"/>
        </w:rPr>
        <w:t>Sales Agent Assistant</w:t>
      </w:r>
      <w:bookmarkEnd w:id="4"/>
    </w:p>
    <w:p>
      <w:pPr>
        <w:spacing w:before="120" w:after="120" w:line="288" w:lineRule="auto"/>
        <w:ind w:left="0"/>
        <w:jc w:val="left"/>
      </w:pPr>
      <w:r>
        <w:rPr>
          <w:rFonts w:eastAsia="等线" w:ascii="Arial" w:cs="Arial" w:hAnsi="Arial"/>
          <w:sz w:val="22"/>
        </w:rPr>
        <w:t>The sales agent assistant chatbot serves as an assistant to help sales agents to create orders for B2B clients.</w:t>
      </w:r>
    </w:p>
    <w:p>
      <w:pPr>
        <w:numPr>
          <w:numId w:val="6"/>
        </w:numPr>
        <w:spacing w:before="120" w:after="120" w:line="288" w:lineRule="auto"/>
        <w:ind w:left="0"/>
        <w:jc w:val="left"/>
      </w:pPr>
      <w:r>
        <w:rPr>
          <w:rFonts w:eastAsia="等线" w:ascii="Arial" w:cs="Arial" w:hAnsi="Arial"/>
          <w:b w:val="true"/>
          <w:sz w:val="22"/>
        </w:rPr>
        <w:t>Platform:</w:t>
      </w:r>
    </w:p>
    <w:p>
      <w:pPr>
        <w:numPr>
          <w:numId w:val="7"/>
        </w:numPr>
        <w:spacing w:before="120" w:after="120" w:line="288" w:lineRule="auto"/>
        <w:ind w:left="453"/>
        <w:jc w:val="left"/>
      </w:pPr>
      <w:r>
        <w:rPr>
          <w:rFonts w:eastAsia="等线" w:ascii="Arial" w:cs="Arial" w:hAnsi="Arial"/>
          <w:sz w:val="22"/>
        </w:rPr>
        <w:t>WhatsApp</w:t>
      </w:r>
    </w:p>
    <w:p>
      <w:pPr>
        <w:numPr>
          <w:numId w:val="8"/>
        </w:numPr>
        <w:spacing w:before="120" w:after="120" w:line="288" w:lineRule="auto"/>
        <w:ind w:left="0"/>
        <w:jc w:val="left"/>
      </w:pPr>
      <w:r>
        <w:rPr>
          <w:rFonts w:eastAsia="等线" w:ascii="Arial" w:cs="Arial" w:hAnsi="Arial"/>
          <w:b w:val="true"/>
          <w:sz w:val="22"/>
        </w:rPr>
        <w:t>Features:</w:t>
      </w:r>
    </w:p>
    <w:p>
      <w:pPr>
        <w:numPr>
          <w:numId w:val="9"/>
        </w:numPr>
        <w:spacing w:before="120" w:after="120" w:line="288" w:lineRule="auto"/>
        <w:ind w:left="453"/>
        <w:jc w:val="left"/>
      </w:pPr>
      <w:r>
        <w:rPr>
          <w:rFonts w:eastAsia="等线" w:ascii="Arial" w:cs="Arial" w:hAnsi="Arial"/>
          <w:b w:val="true"/>
          <w:sz w:val="22"/>
        </w:rPr>
        <w:t>Intelligent Document Processing (IDP):</w:t>
      </w:r>
      <w:r>
        <w:rPr>
          <w:rFonts w:eastAsia="等线" w:ascii="Arial" w:cs="Arial" w:hAnsi="Arial"/>
          <w:sz w:val="22"/>
        </w:rPr>
        <w:t xml:space="preserve"> To process documents such as images of handwritten notes, Purchase Orders, images of orders, payment slips, etc.</w:t>
      </w:r>
    </w:p>
    <w:p>
      <w:pPr>
        <w:numPr>
          <w:numId w:val="10"/>
        </w:numPr>
        <w:spacing w:before="120" w:after="120" w:line="288" w:lineRule="auto"/>
        <w:ind w:left="453"/>
        <w:jc w:val="left"/>
      </w:pPr>
      <w:r>
        <w:rPr>
          <w:rFonts w:eastAsia="等线" w:ascii="Arial" w:cs="Arial" w:hAnsi="Arial"/>
          <w:b w:val="true"/>
          <w:sz w:val="22"/>
        </w:rPr>
        <w:t>Pre-Order Creation Checkings:</w:t>
      </w:r>
      <w:r>
        <w:rPr>
          <w:rFonts w:eastAsia="等线" w:ascii="Arial" w:cs="Arial" w:hAnsi="Arial"/>
          <w:sz w:val="22"/>
        </w:rPr>
        <w:t xml:space="preserve"> Sales agent chatbot will perform necessary checkings before creating an order such as:</w:t>
      </w:r>
    </w:p>
    <w:p>
      <w:pPr>
        <w:numPr>
          <w:numId w:val="11"/>
        </w:numPr>
        <w:spacing w:before="120" w:after="120" w:line="288" w:lineRule="auto"/>
        <w:ind w:left="907"/>
        <w:jc w:val="left"/>
      </w:pPr>
      <w:r>
        <w:rPr>
          <w:rFonts w:eastAsia="等线" w:ascii="Arial" w:cs="Arial" w:hAnsi="Arial"/>
          <w:sz w:val="22"/>
        </w:rPr>
        <w:t>Customer credit limit/terms compliance (from internal MAIA list).</w:t>
      </w:r>
    </w:p>
    <w:p>
      <w:pPr>
        <w:numPr>
          <w:numId w:val="12"/>
        </w:numPr>
        <w:spacing w:before="120" w:after="120" w:line="288" w:lineRule="auto"/>
        <w:ind w:left="907"/>
        <w:jc w:val="left"/>
      </w:pPr>
      <w:r>
        <w:rPr>
          <w:rFonts w:eastAsia="等线" w:ascii="Arial" w:cs="Arial" w:hAnsi="Arial"/>
          <w:sz w:val="22"/>
        </w:rPr>
        <w:t>Price consistency check vs last invoice/configured markup bands (e.g., 12–15%); flag discount breaches for approval.</w:t>
      </w:r>
    </w:p>
    <w:p>
      <w:pPr>
        <w:numPr>
          <w:numId w:val="13"/>
        </w:numPr>
        <w:spacing w:before="120" w:after="120" w:line="288" w:lineRule="auto"/>
        <w:ind w:left="0"/>
        <w:jc w:val="left"/>
      </w:pPr>
      <w:r>
        <w:rPr>
          <w:rFonts w:eastAsia="等线" w:ascii="Arial" w:cs="Arial" w:hAnsi="Arial"/>
          <w:b w:val="true"/>
          <w:sz w:val="22"/>
        </w:rPr>
        <w:t>Sales Order Creation:</w:t>
      </w:r>
      <w:r>
        <w:rPr>
          <w:rFonts w:eastAsia="等线" w:ascii="Arial" w:cs="Arial" w:hAnsi="Arial"/>
          <w:sz w:val="22"/>
        </w:rPr>
        <w:t xml:space="preserve"> To create sales orders as instructed by sales agents through WhatsApp messages and emails (natural language; no rigid keywords required).</w:t>
      </w:r>
    </w:p>
    <w:p>
      <w:pPr>
        <w:numPr>
          <w:numId w:val="14"/>
        </w:numPr>
        <w:spacing w:before="120" w:after="120" w:line="288" w:lineRule="auto"/>
        <w:ind w:left="0"/>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15"/>
        </w:numPr>
        <w:spacing w:before="120" w:after="120" w:line="288" w:lineRule="auto"/>
        <w:ind w:left="453"/>
        <w:jc w:val="left"/>
      </w:pPr>
      <w:r>
        <w:rPr>
          <w:rFonts w:eastAsia="等线" w:ascii="Arial" w:cs="Arial" w:hAnsi="Arial"/>
          <w:sz w:val="22"/>
        </w:rPr>
        <w:t>Quotation</w:t>
      </w:r>
    </w:p>
    <w:p>
      <w:pPr>
        <w:numPr>
          <w:numId w:val="16"/>
        </w:numPr>
        <w:spacing w:before="120" w:after="120" w:line="288" w:lineRule="auto"/>
        <w:ind w:left="453"/>
        <w:jc w:val="left"/>
      </w:pPr>
      <w:r>
        <w:rPr>
          <w:rFonts w:eastAsia="等线" w:ascii="Arial" w:cs="Arial" w:hAnsi="Arial"/>
          <w:sz w:val="22"/>
        </w:rPr>
        <w:t>Sales Order</w:t>
      </w:r>
    </w:p>
    <w:p>
      <w:pPr>
        <w:numPr>
          <w:numId w:val="17"/>
        </w:numPr>
        <w:spacing w:before="120" w:after="120" w:line="288" w:lineRule="auto"/>
        <w:ind w:left="453"/>
        <w:jc w:val="left"/>
      </w:pPr>
      <w:r>
        <w:rPr>
          <w:rFonts w:eastAsia="等线" w:ascii="Arial" w:cs="Arial" w:hAnsi="Arial"/>
          <w:sz w:val="22"/>
        </w:rPr>
        <w:t>Proforma Invoice</w:t>
      </w:r>
    </w:p>
    <w:p>
      <w:pPr>
        <w:numPr>
          <w:numId w:val="18"/>
        </w:numPr>
        <w:spacing w:before="120" w:after="120" w:line="288" w:lineRule="auto"/>
        <w:ind w:left="453"/>
        <w:jc w:val="left"/>
      </w:pPr>
      <w:r>
        <w:rPr>
          <w:rFonts w:eastAsia="等线" w:ascii="Arial" w:cs="Arial" w:hAnsi="Arial"/>
          <w:sz w:val="22"/>
        </w:rPr>
        <w:t>Invoice</w:t>
      </w:r>
    </w:p>
    <w:p>
      <w:pPr>
        <w:numPr>
          <w:numId w:val="19"/>
        </w:numPr>
        <w:spacing w:before="120" w:after="120" w:line="288" w:lineRule="auto"/>
        <w:ind w:left="453"/>
        <w:jc w:val="left"/>
      </w:pPr>
      <w:r>
        <w:rPr>
          <w:rFonts w:eastAsia="等线" w:ascii="Arial" w:cs="Arial" w:hAnsi="Arial"/>
          <w:sz w:val="22"/>
        </w:rPr>
        <w:t>Credit Note</w:t>
      </w:r>
    </w:p>
    <w:p>
      <w:pPr>
        <w:numPr>
          <w:numId w:val="20"/>
        </w:numPr>
        <w:spacing w:before="120" w:after="120" w:line="288" w:lineRule="auto"/>
        <w:ind w:left="453"/>
        <w:jc w:val="left"/>
      </w:pPr>
      <w:r>
        <w:rPr>
          <w:rFonts w:eastAsia="等线" w:ascii="Arial" w:cs="Arial" w:hAnsi="Arial"/>
          <w:sz w:val="22"/>
        </w:rPr>
        <w:t>Receipt</w:t>
      </w:r>
    </w:p>
    <w:p>
      <w:pPr>
        <w:numPr>
          <w:numId w:val="21"/>
        </w:numPr>
        <w:spacing w:before="120" w:after="120" w:line="288" w:lineRule="auto"/>
        <w:ind w:left="453"/>
        <w:jc w:val="left"/>
      </w:pPr>
      <w:r>
        <w:rPr>
          <w:rFonts w:eastAsia="等线" w:ascii="Arial" w:cs="Arial" w:hAnsi="Arial"/>
          <w:sz w:val="22"/>
        </w:rPr>
        <w:t>Payment Voucher</w:t>
      </w:r>
    </w:p>
    <w:p>
      <w:pPr>
        <w:numPr>
          <w:numId w:val="22"/>
        </w:numPr>
        <w:spacing w:before="120" w:after="120" w:line="288" w:lineRule="auto"/>
        <w:ind w:left="0"/>
        <w:jc w:val="left"/>
      </w:pPr>
      <w:r>
        <w:rPr>
          <w:rFonts w:eastAsia="等线" w:ascii="Arial" w:cs="Arial" w:hAnsi="Arial"/>
          <w:b w:val="true"/>
          <w:sz w:val="22"/>
        </w:rPr>
        <w:t>Daily Digests:</w:t>
      </w:r>
      <w:r>
        <w:rPr>
          <w:rFonts w:eastAsia="等线" w:ascii="Arial" w:cs="Arial" w:hAnsi="Arial"/>
          <w:sz w:val="22"/>
        </w:rPr>
        <w:t xml:space="preserve"> Sales agent chatbot is able to send a daily digest that consists of unprocessed / incomplete orders and pending actions to the sales agents on a daily basis.</w:t>
      </w:r>
    </w:p>
    <w:p>
      <w:pPr>
        <w:numPr>
          <w:numId w:val="23"/>
        </w:numPr>
        <w:spacing w:before="120" w:after="120" w:line="288" w:lineRule="auto"/>
        <w:ind w:left="0"/>
        <w:jc w:val="left"/>
      </w:pPr>
      <w:r>
        <w:rPr>
          <w:rFonts w:eastAsia="等线" w:ascii="Arial" w:cs="Arial" w:hAnsi="Arial"/>
          <w:b w:val="true"/>
          <w:sz w:val="22"/>
        </w:rPr>
        <w:t>Sales Process SOP:</w:t>
      </w:r>
      <w:r>
        <w:rPr>
          <w:rFonts w:eastAsia="等线" w:ascii="Arial" w:cs="Arial" w:hAnsi="Arial"/>
          <w:sz w:val="22"/>
        </w:rPr>
        <w:t xml:space="preserve"> Sales processes such as approvals (if applicable: price override, credit limit exceeded) will be implemented in the chatflow.</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2.1.2 </w:t>
      </w:r>
      <w:r>
        <w:rPr>
          <w:rFonts w:eastAsia="等线" w:ascii="Arial" w:cs="Arial" w:hAnsi="Arial"/>
          <w:b w:val="true"/>
          <w:sz w:val="30"/>
        </w:rPr>
        <w:t>Logistics Agent Assistant</w:t>
      </w:r>
      <w:bookmarkEnd w:id="5"/>
    </w:p>
    <w:p>
      <w:pPr>
        <w:spacing w:before="120" w:after="120" w:line="288" w:lineRule="auto"/>
        <w:ind w:left="0"/>
        <w:jc w:val="left"/>
      </w:pPr>
      <w:r>
        <w:rPr>
          <w:rFonts w:eastAsia="等线" w:ascii="Arial" w:cs="Arial" w:hAnsi="Arial"/>
          <w:sz w:val="22"/>
        </w:rPr>
        <w:t>The logistics agent assistant chatbot serves as an assistant to help logistics agents manage order fulfillment for B2B clients.</w:t>
      </w:r>
    </w:p>
    <w:p>
      <w:pPr>
        <w:numPr>
          <w:numId w:val="24"/>
        </w:numPr>
        <w:spacing w:before="120" w:after="120" w:line="288" w:lineRule="auto"/>
        <w:ind w:left="0"/>
        <w:jc w:val="left"/>
      </w:pPr>
      <w:r>
        <w:rPr>
          <w:rFonts w:eastAsia="等线" w:ascii="Arial" w:cs="Arial" w:hAnsi="Arial"/>
          <w:b w:val="true"/>
          <w:sz w:val="22"/>
        </w:rPr>
        <w:t>Platform:</w:t>
      </w:r>
    </w:p>
    <w:p>
      <w:pPr>
        <w:numPr>
          <w:numId w:val="25"/>
        </w:numPr>
        <w:spacing w:before="120" w:after="120" w:line="288" w:lineRule="auto"/>
        <w:ind w:left="453"/>
        <w:jc w:val="left"/>
      </w:pPr>
      <w:r>
        <w:rPr>
          <w:rFonts w:eastAsia="等线" w:ascii="Arial" w:cs="Arial" w:hAnsi="Arial"/>
          <w:sz w:val="22"/>
        </w:rPr>
        <w:t>WhatsApp</w:t>
      </w:r>
    </w:p>
    <w:p>
      <w:pPr>
        <w:numPr>
          <w:numId w:val="26"/>
        </w:numPr>
        <w:spacing w:before="120" w:after="120" w:line="288" w:lineRule="auto"/>
        <w:ind w:left="0"/>
        <w:jc w:val="left"/>
      </w:pPr>
      <w:r>
        <w:rPr>
          <w:rFonts w:eastAsia="等线" w:ascii="Arial" w:cs="Arial" w:hAnsi="Arial"/>
          <w:b w:val="true"/>
          <w:sz w:val="22"/>
        </w:rPr>
        <w:t>Features:</w:t>
      </w:r>
    </w:p>
    <w:p>
      <w:pPr>
        <w:numPr>
          <w:numId w:val="27"/>
        </w:numPr>
        <w:spacing w:before="120" w:after="120" w:line="288" w:lineRule="auto"/>
        <w:ind w:left="453"/>
        <w:jc w:val="left"/>
      </w:pPr>
      <w:r>
        <w:rPr>
          <w:rFonts w:eastAsia="等线" w:ascii="Arial" w:cs="Arial" w:hAnsi="Arial"/>
          <w:b w:val="true"/>
          <w:sz w:val="22"/>
        </w:rPr>
        <w:t xml:space="preserve">Transporter Management: </w:t>
      </w:r>
      <w:r>
        <w:rPr>
          <w:rFonts w:eastAsia="等线" w:ascii="Arial" w:cs="Arial" w:hAnsi="Arial"/>
          <w:sz w:val="22"/>
        </w:rPr>
        <w:t>Manage dispatch for local third-party contractors and outstation partners (e.g., TiongNam, GMAX).</w:t>
      </w:r>
    </w:p>
    <w:p>
      <w:pPr>
        <w:numPr>
          <w:numId w:val="28"/>
        </w:numPr>
        <w:spacing w:before="120" w:after="120" w:line="288" w:lineRule="auto"/>
        <w:ind w:left="453"/>
        <w:jc w:val="left"/>
      </w:pPr>
      <w:r>
        <w:rPr>
          <w:rFonts w:eastAsia="等线" w:ascii="Arial" w:cs="Arial" w:hAnsi="Arial"/>
          <w:sz w:val="22"/>
        </w:rPr>
        <w:t>Delivery eligibility rules (e.g., minimum order value RM200 for delivery) and basic routing prompts.</w:t>
      </w:r>
    </w:p>
    <w:p>
      <w:pPr>
        <w:numPr>
          <w:numId w:val="29"/>
        </w:numPr>
        <w:spacing w:before="120" w:after="120" w:line="288" w:lineRule="auto"/>
        <w:ind w:left="453"/>
        <w:jc w:val="left"/>
      </w:pPr>
      <w:r>
        <w:rPr>
          <w:rFonts w:eastAsia="等线" w:ascii="Arial" w:cs="Arial" w:hAnsi="Arial"/>
          <w:sz w:val="22"/>
        </w:rPr>
        <w:t>(Optional) Inventory count check where shared/available.</w:t>
      </w:r>
    </w:p>
    <w:p>
      <w:pPr>
        <w:numPr>
          <w:numId w:val="30"/>
        </w:numPr>
        <w:spacing w:before="120" w:after="120" w:line="288" w:lineRule="auto"/>
        <w:ind w:left="0"/>
        <w:jc w:val="left"/>
      </w:pPr>
      <w:r>
        <w:rPr>
          <w:rFonts w:eastAsia="等线" w:ascii="Arial" w:cs="Arial" w:hAnsi="Arial"/>
          <w:b w:val="true"/>
          <w:sz w:val="22"/>
        </w:rPr>
        <w:t>Delivery Note (DO) Creation:</w:t>
      </w:r>
      <w:r>
        <w:rPr>
          <w:rFonts w:eastAsia="等线" w:ascii="Arial" w:cs="Arial" w:hAnsi="Arial"/>
          <w:sz w:val="22"/>
        </w:rPr>
        <w:t xml:space="preserve"> To create Delivery note(DO) as instructed by Logistic agents through WhatsApp messages (natural language; no rigid keywords required).</w:t>
      </w:r>
    </w:p>
    <w:p>
      <w:pPr>
        <w:numPr>
          <w:numId w:val="31"/>
        </w:numPr>
        <w:spacing w:before="120" w:after="120" w:line="288" w:lineRule="auto"/>
        <w:ind w:left="0"/>
        <w:jc w:val="left"/>
      </w:pPr>
      <w:r>
        <w:rPr>
          <w:rFonts w:eastAsia="等线" w:ascii="Arial" w:cs="Arial" w:hAnsi="Arial"/>
          <w:b w:val="true"/>
          <w:sz w:val="22"/>
        </w:rPr>
        <w:t>Output Document Generation:</w:t>
      </w:r>
      <w:r>
        <w:rPr>
          <w:rFonts w:eastAsia="等线" w:ascii="Arial" w:cs="Arial" w:hAnsi="Arial"/>
          <w:sz w:val="22"/>
        </w:rPr>
        <w:t xml:space="preserve"> To generate output documents. List of output documents supported:</w:t>
      </w:r>
    </w:p>
    <w:p>
      <w:pPr>
        <w:numPr>
          <w:numId w:val="32"/>
        </w:numPr>
        <w:spacing w:before="120" w:after="120" w:line="288" w:lineRule="auto"/>
        <w:ind w:left="453"/>
        <w:jc w:val="left"/>
      </w:pPr>
      <w:r>
        <w:rPr>
          <w:rFonts w:eastAsia="等线" w:ascii="Arial" w:cs="Arial" w:hAnsi="Arial"/>
          <w:sz w:val="22"/>
        </w:rPr>
        <w:t>Delivery Order</w:t>
      </w:r>
    </w:p>
    <w:p>
      <w:pPr>
        <w:numPr>
          <w:numId w:val="33"/>
        </w:numPr>
        <w:spacing w:before="120" w:after="120" w:line="288" w:lineRule="auto"/>
        <w:ind w:left="453"/>
        <w:jc w:val="left"/>
      </w:pPr>
      <w:r>
        <w:rPr>
          <w:rFonts w:eastAsia="等线" w:ascii="Arial" w:cs="Arial" w:hAnsi="Arial"/>
          <w:sz w:val="22"/>
        </w:rPr>
        <w:t>Picking List</w:t>
      </w:r>
    </w:p>
    <w:p>
      <w:pPr>
        <w:numPr>
          <w:numId w:val="34"/>
        </w:numPr>
        <w:spacing w:before="120" w:after="120" w:line="288" w:lineRule="auto"/>
        <w:ind w:left="0"/>
        <w:jc w:val="left"/>
      </w:pPr>
      <w:r>
        <w:rPr>
          <w:rFonts w:eastAsia="等线" w:ascii="Arial" w:cs="Arial" w:hAnsi="Arial"/>
          <w:b w:val="true"/>
          <w:sz w:val="22"/>
        </w:rPr>
        <w:t>Daily Digests:</w:t>
      </w:r>
      <w:r>
        <w:rPr>
          <w:rFonts w:eastAsia="等线" w:ascii="Arial" w:cs="Arial" w:hAnsi="Arial"/>
          <w:sz w:val="22"/>
        </w:rPr>
        <w:t xml:space="preserve"> The logistics agent chatbot automatically sends a daily summary of all orders requiring attention, including those pending scheduling, scheduled for delivery, out for delivery, and completed deliveries. This ensures logistics agents have full visibility of daily operational tasks.</w:t>
      </w:r>
    </w:p>
    <w:p>
      <w:pPr>
        <w:pStyle w:val="2"/>
        <w:spacing w:before="320" w:after="120" w:line="288" w:lineRule="auto"/>
        <w:ind w:left="0"/>
        <w:jc w:val="left"/>
        <w:outlineLvl w:val="1"/>
      </w:pPr>
      <w:bookmarkStart w:name="heading_6" w:id="6"/>
      <w:r>
        <w:rPr>
          <w:rFonts w:eastAsia="等线" w:ascii="Arial" w:cs="Arial" w:hAnsi="Arial"/>
          <w:color w:val="3370ff"/>
          <w:sz w:val="32"/>
        </w:rPr>
        <w:t xml:space="preserve">2.2 </w:t>
      </w:r>
      <w:r>
        <w:rPr>
          <w:rFonts w:eastAsia="等线" w:ascii="Arial" w:cs="Arial" w:hAnsi="Arial"/>
          <w:b w:val="true"/>
          <w:sz w:val="32"/>
        </w:rPr>
        <w:t xml:space="preserve"> User Workspaces</w:t>
      </w:r>
      <w:bookmarkEnd w:id="6"/>
    </w:p>
    <w:p>
      <w:pPr>
        <w:spacing w:before="120" w:after="120" w:line="288" w:lineRule="auto"/>
        <w:ind w:left="0"/>
        <w:jc w:val="left"/>
      </w:pPr>
      <w:r>
        <w:rPr>
          <w:rFonts w:eastAsia="等线" w:ascii="Arial" w:cs="Arial" w:hAnsi="Arial"/>
          <w:sz w:val="22"/>
        </w:rPr>
        <w:t xml:space="preserve">Desktop Web and/or </w:t>
      </w:r>
      <w:r>
        <w:rPr>
          <w:rFonts w:eastAsia="等线" w:ascii="Arial" w:cs="Arial" w:hAnsi="Arial"/>
          <w:sz w:val="22"/>
        </w:rPr>
        <w:t>Mobile Responsive Web interfaces</w:t>
      </w:r>
      <w:r>
        <w:rPr>
          <w:rFonts w:eastAsia="等线" w:ascii="Arial" w:cs="Arial" w:hAnsi="Arial"/>
          <w:sz w:val="22"/>
        </w:rPr>
        <w:t>, where users can login and interact with the System.</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2.2.1 </w:t>
      </w:r>
      <w:r>
        <w:rPr>
          <w:rFonts w:eastAsia="等线" w:ascii="Arial" w:cs="Arial" w:hAnsi="Arial"/>
          <w:b w:val="true"/>
          <w:sz w:val="30"/>
        </w:rPr>
        <w:t xml:space="preserve"> Sales Agent Workspace</w:t>
      </w:r>
      <w:bookmarkEnd w:id="7"/>
    </w:p>
    <w:p>
      <w:pPr>
        <w:numPr>
          <w:numId w:val="35"/>
        </w:numPr>
        <w:spacing w:before="120" w:after="120" w:line="288" w:lineRule="auto"/>
        <w:ind w:left="0"/>
        <w:jc w:val="left"/>
      </w:pPr>
      <w:r>
        <w:rPr>
          <w:rFonts w:eastAsia="等线" w:ascii="Arial" w:cs="Arial" w:hAnsi="Arial"/>
          <w:b w:val="true"/>
          <w:sz w:val="22"/>
        </w:rPr>
        <w:t>Features:</w:t>
      </w:r>
    </w:p>
    <w:p>
      <w:pPr>
        <w:numPr>
          <w:numId w:val="36"/>
        </w:numPr>
        <w:spacing w:before="120" w:after="120" w:line="288" w:lineRule="auto"/>
        <w:ind w:left="453"/>
        <w:jc w:val="left"/>
      </w:pPr>
      <w:r>
        <w:rPr>
          <w:rFonts w:eastAsia="等线" w:ascii="Arial" w:cs="Arial" w:hAnsi="Arial"/>
          <w:b w:val="true"/>
          <w:sz w:val="22"/>
        </w:rPr>
        <w:t>Sales Order Management:</w:t>
      </w:r>
      <w:r>
        <w:rPr>
          <w:rFonts w:eastAsia="等线" w:ascii="Arial" w:cs="Arial" w:hAnsi="Arial"/>
          <w:sz w:val="22"/>
        </w:rPr>
        <w:t xml:space="preserve"> Create, modify, and track sales orders.</w:t>
      </w:r>
    </w:p>
    <w:p>
      <w:pPr>
        <w:numPr>
          <w:numId w:val="37"/>
        </w:numPr>
        <w:spacing w:before="120" w:after="120" w:line="288" w:lineRule="auto"/>
        <w:ind w:left="453"/>
        <w:jc w:val="left"/>
      </w:pPr>
      <w:r>
        <w:rPr>
          <w:rFonts w:eastAsia="等线" w:ascii="Arial" w:cs="Arial" w:hAnsi="Arial"/>
          <w:b w:val="true"/>
          <w:sz w:val="22"/>
        </w:rPr>
        <w:t>Order Lifecycle Overview:</w:t>
      </w:r>
      <w:r>
        <w:rPr>
          <w:rFonts w:eastAsia="等线" w:ascii="Arial" w:cs="Arial" w:hAnsi="Arial"/>
          <w:sz w:val="22"/>
        </w:rPr>
        <w:t xml:space="preserve"> Users are able to manage and have an overview of the statuses of the orders (draft, confirmed, fulfilled, billed).</w:t>
      </w:r>
    </w:p>
    <w:p>
      <w:pPr>
        <w:numPr>
          <w:numId w:val="38"/>
        </w:numPr>
        <w:spacing w:before="120" w:after="120" w:line="288" w:lineRule="auto"/>
        <w:ind w:left="453"/>
        <w:jc w:val="left"/>
      </w:pPr>
      <w:r>
        <w:rPr>
          <w:rFonts w:eastAsia="等线" w:ascii="Arial" w:cs="Arial" w:hAnsi="Arial"/>
          <w:b w:val="true"/>
          <w:sz w:val="22"/>
        </w:rPr>
        <w:t>Output Documents Management:</w:t>
      </w:r>
      <w:r>
        <w:rPr>
          <w:rFonts w:eastAsia="等线" w:ascii="Arial" w:cs="Arial" w:hAnsi="Arial"/>
          <w:sz w:val="22"/>
        </w:rPr>
        <w:t xml:space="preserve"> View and manage the created output documents (e.g., invoice, DO, receipt).</w:t>
      </w:r>
    </w:p>
    <w:p>
      <w:pPr>
        <w:numPr>
          <w:numId w:val="39"/>
        </w:numPr>
        <w:spacing w:before="120" w:after="120" w:line="288" w:lineRule="auto"/>
        <w:ind w:left="453"/>
        <w:jc w:val="left"/>
      </w:pPr>
      <w:r>
        <w:rPr>
          <w:rFonts w:eastAsia="等线" w:ascii="Arial" w:cs="Arial" w:hAnsi="Arial"/>
          <w:b w:val="true"/>
          <w:sz w:val="22"/>
        </w:rPr>
        <w:t>Customer Management:</w:t>
      </w:r>
      <w:r>
        <w:rPr>
          <w:rFonts w:eastAsia="等线" w:ascii="Arial" w:cs="Arial" w:hAnsi="Arial"/>
          <w:sz w:val="22"/>
        </w:rPr>
        <w:t xml:space="preserve"> View and manage the </w:t>
      </w:r>
      <w:r>
        <w:rPr>
          <w:rFonts w:eastAsia="等线" w:ascii="Arial" w:cs="Arial" w:hAnsi="Arial"/>
          <w:sz w:val="22"/>
        </w:rPr>
        <w:t>details</w:t>
      </w:r>
      <w:r>
        <w:rPr>
          <w:rFonts w:eastAsia="等线" w:ascii="Arial" w:cs="Arial" w:hAnsi="Arial"/>
          <w:sz w:val="22"/>
        </w:rPr>
        <w:t xml:space="preserve"> of each client, including credit terms/limits recorded in MAIA</w:t>
      </w:r>
    </w:p>
    <w:p>
      <w:pPr>
        <w:pStyle w:val="3"/>
        <w:spacing w:before="300" w:after="120" w:line="288" w:lineRule="auto"/>
        <w:ind w:left="0"/>
        <w:jc w:val="left"/>
        <w:outlineLvl w:val="2"/>
      </w:pPr>
      <w:bookmarkStart w:name="heading_8" w:id="8"/>
      <w:r>
        <w:rPr>
          <w:rFonts w:eastAsia="等线" w:ascii="Arial" w:cs="Arial" w:hAnsi="Arial"/>
          <w:color w:val="3370ff"/>
          <w:sz w:val="30"/>
        </w:rPr>
        <w:t xml:space="preserve">2.2.2 </w:t>
      </w:r>
      <w:r>
        <w:rPr>
          <w:rFonts w:eastAsia="等线" w:ascii="Arial" w:cs="Arial" w:hAnsi="Arial"/>
          <w:b w:val="true"/>
          <w:sz w:val="30"/>
        </w:rPr>
        <w:t>Logistics Agent Workspace</w:t>
      </w:r>
      <w:bookmarkEnd w:id="8"/>
    </w:p>
    <w:p>
      <w:pPr>
        <w:numPr>
          <w:numId w:val="40"/>
        </w:numPr>
        <w:spacing w:before="120" w:after="120" w:line="288" w:lineRule="auto"/>
        <w:ind w:left="0"/>
        <w:jc w:val="left"/>
      </w:pPr>
      <w:r>
        <w:rPr>
          <w:rFonts w:eastAsia="等线" w:ascii="Arial" w:cs="Arial" w:hAnsi="Arial"/>
          <w:b w:val="true"/>
          <w:sz w:val="22"/>
        </w:rPr>
        <w:t>Features:</w:t>
      </w:r>
    </w:p>
    <w:p>
      <w:pPr>
        <w:numPr>
          <w:numId w:val="41"/>
        </w:numPr>
        <w:spacing w:before="120" w:after="120" w:line="288" w:lineRule="auto"/>
        <w:ind w:left="453"/>
        <w:jc w:val="left"/>
      </w:pPr>
      <w:r>
        <w:rPr>
          <w:rFonts w:eastAsia="等线" w:ascii="Arial" w:cs="Arial" w:hAnsi="Arial"/>
          <w:b w:val="true"/>
          <w:sz w:val="22"/>
        </w:rPr>
        <w:t>Fullfillment Management:</w:t>
      </w:r>
      <w:r>
        <w:rPr>
          <w:rFonts w:eastAsia="等线" w:ascii="Arial" w:cs="Arial" w:hAnsi="Arial"/>
          <w:sz w:val="22"/>
        </w:rPr>
        <w:t xml:space="preserve"> Create, modify, and track Delivery notes.</w:t>
      </w:r>
    </w:p>
    <w:p>
      <w:pPr>
        <w:numPr>
          <w:numId w:val="42"/>
        </w:numPr>
        <w:spacing w:before="120" w:after="120" w:line="288" w:lineRule="auto"/>
        <w:ind w:left="453"/>
        <w:jc w:val="left"/>
      </w:pPr>
      <w:r>
        <w:rPr>
          <w:rFonts w:eastAsia="等线" w:ascii="Arial" w:cs="Arial" w:hAnsi="Arial"/>
          <w:b w:val="true"/>
          <w:sz w:val="22"/>
        </w:rPr>
        <w:t>Order Lifecycle Overview:</w:t>
      </w:r>
      <w:r>
        <w:rPr>
          <w:rFonts w:eastAsia="等线" w:ascii="Arial" w:cs="Arial" w:hAnsi="Arial"/>
          <w:sz w:val="22"/>
        </w:rPr>
        <w:t xml:space="preserve"> Users are able to manage and have an overview of the statuses of the orders (draft, to Schedule, Scheduled, Out for Delivery, Delivered).</w:t>
      </w:r>
    </w:p>
    <w:p>
      <w:pPr>
        <w:numPr>
          <w:numId w:val="43"/>
        </w:numPr>
        <w:spacing w:before="120" w:after="120" w:line="288" w:lineRule="auto"/>
        <w:ind w:left="453"/>
        <w:jc w:val="left"/>
      </w:pPr>
      <w:r>
        <w:rPr>
          <w:rFonts w:eastAsia="等线" w:ascii="Arial" w:cs="Arial" w:hAnsi="Arial"/>
          <w:b w:val="true"/>
          <w:sz w:val="22"/>
        </w:rPr>
        <w:t>Output Documents Management:</w:t>
      </w:r>
      <w:r>
        <w:rPr>
          <w:rFonts w:eastAsia="等线" w:ascii="Arial" w:cs="Arial" w:hAnsi="Arial"/>
          <w:sz w:val="22"/>
        </w:rPr>
        <w:t xml:space="preserve"> View and manage the created output documents (Pick List,Delivery Note(DO)).</w:t>
      </w:r>
    </w:p>
    <w:p>
      <w:pPr>
        <w:numPr>
          <w:numId w:val="44"/>
        </w:numPr>
        <w:spacing w:before="120" w:after="120" w:line="288" w:lineRule="auto"/>
        <w:ind w:left="453"/>
        <w:jc w:val="left"/>
      </w:pPr>
      <w:r>
        <w:rPr>
          <w:rFonts w:eastAsia="等线" w:ascii="Arial" w:cs="Arial" w:hAnsi="Arial"/>
          <w:b w:val="true"/>
          <w:sz w:val="22"/>
        </w:rPr>
        <w:t>Inventory Management:</w:t>
      </w:r>
      <w:r>
        <w:rPr>
          <w:rFonts w:eastAsia="等线" w:ascii="Arial" w:cs="Arial" w:hAnsi="Arial"/>
          <w:sz w:val="22"/>
        </w:rPr>
        <w:t xml:space="preserve"> View and manage the details of each Product</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2.2.3 </w:t>
      </w:r>
      <w:r>
        <w:rPr>
          <w:rFonts w:eastAsia="等线" w:ascii="Arial" w:cs="Arial" w:hAnsi="Arial"/>
          <w:b w:val="true"/>
          <w:sz w:val="30"/>
        </w:rPr>
        <w:t xml:space="preserve"> Integration &amp; Data Sync with UBS (Accounting)</w:t>
      </w:r>
      <w:bookmarkEnd w:id="9"/>
    </w:p>
    <w:p>
      <w:pPr>
        <w:spacing w:before="120" w:after="120" w:line="288" w:lineRule="auto"/>
        <w:ind w:left="0"/>
        <w:jc w:val="left"/>
      </w:pPr>
      <w:r>
        <w:rPr>
          <w:rFonts w:eastAsia="等线" w:ascii="Arial" w:cs="Arial" w:hAnsi="Arial"/>
          <w:sz w:val="22"/>
        </w:rPr>
        <w:t>To push and synchronise data with Holsen’s UBS-based accounting/ERP, the following connectivity is required. Final method is subject to confirmation with the client’s IT/vendor.</w:t>
      </w:r>
    </w:p>
    <w:p>
      <w:pPr>
        <w:numPr>
          <w:numId w:val="45"/>
        </w:numPr>
        <w:spacing w:before="120" w:after="120" w:line="288" w:lineRule="auto"/>
        <w:ind w:left="0"/>
        <w:jc w:val="left"/>
      </w:pPr>
      <w:r>
        <w:rPr>
          <w:rFonts w:eastAsia="等线" w:ascii="Arial" w:cs="Arial" w:hAnsi="Arial"/>
          <w:b w:val="true"/>
          <w:sz w:val="22"/>
        </w:rPr>
        <w:t>Integration Method:</w:t>
      </w:r>
    </w:p>
    <w:p>
      <w:pPr>
        <w:numPr>
          <w:numId w:val="46"/>
        </w:numPr>
        <w:spacing w:before="120" w:after="120" w:line="288" w:lineRule="auto"/>
        <w:ind w:left="453"/>
        <w:jc w:val="left"/>
      </w:pPr>
      <w:r>
        <w:rPr>
          <w:rFonts w:eastAsia="等线" w:ascii="Arial" w:cs="Arial" w:hAnsi="Arial"/>
          <w:b w:val="true"/>
          <w:sz w:val="22"/>
        </w:rPr>
        <w:t>Preferred:</w:t>
      </w:r>
      <w:r>
        <w:rPr>
          <w:rFonts w:eastAsia="等线" w:ascii="Arial" w:cs="Arial" w:hAnsi="Arial"/>
          <w:sz w:val="22"/>
        </w:rPr>
        <w:t xml:space="preserve"> Secure file-based import/export (CSV/XML via SFTP) or ODBC extract if available.</w:t>
      </w:r>
    </w:p>
    <w:p>
      <w:pPr>
        <w:numPr>
          <w:numId w:val="47"/>
        </w:numPr>
        <w:spacing w:before="120" w:after="120" w:line="288" w:lineRule="auto"/>
        <w:ind w:left="453"/>
        <w:jc w:val="left"/>
      </w:pPr>
      <w:r>
        <w:rPr>
          <w:rFonts w:eastAsia="等线" w:ascii="Arial" w:cs="Arial" w:hAnsi="Arial"/>
          <w:b w:val="true"/>
          <w:sz w:val="22"/>
        </w:rPr>
        <w:t>Alternate:</w:t>
      </w:r>
      <w:r>
        <w:rPr>
          <w:rFonts w:eastAsia="等线" w:ascii="Arial" w:cs="Arial" w:hAnsi="Arial"/>
          <w:sz w:val="22"/>
        </w:rPr>
        <w:t xml:space="preserve"> REST/SDK/API, if provided by the UBS vendor/module in use.</w:t>
      </w:r>
    </w:p>
    <w:p>
      <w:pPr>
        <w:numPr>
          <w:numId w:val="48"/>
        </w:numPr>
        <w:spacing w:before="120" w:after="120" w:line="288" w:lineRule="auto"/>
        <w:ind w:left="0"/>
        <w:jc w:val="left"/>
      </w:pPr>
      <w:r>
        <w:rPr>
          <w:rFonts w:eastAsia="等线" w:ascii="Arial" w:cs="Arial" w:hAnsi="Arial"/>
          <w:b w:val="true"/>
          <w:sz w:val="22"/>
        </w:rPr>
        <w:t>Core Touchpoints:</w:t>
      </w:r>
    </w:p>
    <w:p>
      <w:pPr>
        <w:numPr>
          <w:numId w:val="49"/>
        </w:numPr>
        <w:spacing w:before="120" w:after="120" w:line="288" w:lineRule="auto"/>
        <w:ind w:left="453"/>
        <w:jc w:val="left"/>
      </w:pPr>
      <w:r>
        <w:rPr>
          <w:rFonts w:eastAsia="等线" w:ascii="Arial" w:cs="Arial" w:hAnsi="Arial"/>
          <w:b w:val="true"/>
          <w:sz w:val="22"/>
        </w:rPr>
        <w:t>Master Data (Read):</w:t>
      </w:r>
      <w:r>
        <w:rPr>
          <w:rFonts w:eastAsia="等线" w:ascii="Arial" w:cs="Arial" w:hAnsi="Arial"/>
          <w:sz w:val="22"/>
        </w:rPr>
        <w:t xml:space="preserve"> Customers, Items, Price Lists/Markup rules, Credit Terms/Limit, (optional) Inventory availability.</w:t>
      </w:r>
    </w:p>
    <w:p>
      <w:pPr>
        <w:numPr>
          <w:numId w:val="50"/>
        </w:numPr>
        <w:spacing w:before="120" w:after="120" w:line="288" w:lineRule="auto"/>
        <w:ind w:left="453"/>
        <w:jc w:val="left"/>
      </w:pPr>
      <w:r>
        <w:rPr>
          <w:rFonts w:eastAsia="等线" w:ascii="Arial" w:cs="Arial" w:hAnsi="Arial"/>
          <w:b w:val="true"/>
          <w:sz w:val="22"/>
        </w:rPr>
        <w:t>Transactions (Write):</w:t>
      </w:r>
      <w:r>
        <w:rPr>
          <w:rFonts w:eastAsia="等线" w:ascii="Arial" w:cs="Arial" w:hAnsi="Arial"/>
          <w:sz w:val="22"/>
        </w:rPr>
        <w:t xml:space="preserve"> Sales Orders (from MAIA into UBS system).</w:t>
      </w:r>
    </w:p>
    <w:p>
      <w:pPr>
        <w:numPr>
          <w:numId w:val="51"/>
        </w:numPr>
        <w:spacing w:before="120" w:after="120" w:line="288" w:lineRule="auto"/>
        <w:ind w:left="453"/>
        <w:jc w:val="left"/>
      </w:pPr>
      <w:r>
        <w:rPr>
          <w:rFonts w:eastAsia="等线" w:ascii="Arial" w:cs="Arial" w:hAnsi="Arial"/>
          <w:b w:val="true"/>
          <w:sz w:val="22"/>
        </w:rPr>
        <w:t>Status/Docs (Read/Write as applicable):</w:t>
      </w:r>
      <w:r>
        <w:rPr>
          <w:rFonts w:eastAsia="等线" w:ascii="Arial" w:cs="Arial" w:hAnsi="Arial"/>
          <w:sz w:val="22"/>
        </w:rPr>
        <w:t xml:space="preserve"> Delivery Order status, Invoice status/number, </w:t>
      </w:r>
      <w:r>
        <w:rPr>
          <w:rFonts w:eastAsia="等线" w:ascii="Arial" w:cs="Arial" w:hAnsi="Arial"/>
          <w:sz w:val="22"/>
        </w:rPr>
        <w:t>Receipts (AR).</w:t>
      </w:r>
    </w:p>
    <w:p>
      <w:pPr>
        <w:numPr>
          <w:numId w:val="52"/>
        </w:numPr>
        <w:spacing w:before="120" w:after="120" w:line="288" w:lineRule="auto"/>
        <w:ind w:left="453"/>
        <w:jc w:val="left"/>
      </w:pPr>
      <w:r>
        <w:rPr>
          <w:rFonts w:eastAsia="等线" w:ascii="Arial" w:cs="Arial" w:hAnsi="Arial"/>
          <w:b w:val="true"/>
          <w:sz w:val="22"/>
        </w:rPr>
        <w:t>(If required later):</w:t>
      </w:r>
      <w:r>
        <w:rPr>
          <w:rFonts w:eastAsia="等线" w:ascii="Arial" w:cs="Arial" w:hAnsi="Arial"/>
          <w:sz w:val="22"/>
        </w:rPr>
        <w:t xml:space="preserve"> Returns/Credit Notes references.</w:t>
      </w:r>
    </w:p>
    <w:p>
      <w:pPr>
        <w:numPr>
          <w:numId w:val="53"/>
        </w:numPr>
        <w:spacing w:before="120" w:after="120" w:line="288" w:lineRule="auto"/>
        <w:ind w:left="0"/>
        <w:jc w:val="left"/>
      </w:pPr>
      <w:r>
        <w:rPr>
          <w:rFonts w:eastAsia="等线" w:ascii="Arial" w:cs="Arial" w:hAnsi="Arial"/>
          <w:b w:val="true"/>
          <w:sz w:val="22"/>
        </w:rPr>
        <w:t>Dependencies:</w:t>
      </w:r>
    </w:p>
    <w:p>
      <w:pPr>
        <w:numPr>
          <w:numId w:val="54"/>
        </w:numPr>
        <w:spacing w:before="120" w:after="120" w:line="288" w:lineRule="auto"/>
        <w:ind w:left="453"/>
        <w:jc w:val="left"/>
      </w:pPr>
      <w:r>
        <w:rPr>
          <w:rFonts w:eastAsia="等线" w:ascii="Arial" w:cs="Arial" w:hAnsi="Arial"/>
          <w:sz w:val="22"/>
        </w:rPr>
        <w:t>UBS hosting type (on-prem vs hosted VM), access path, and vendor contact for format/specs.</w:t>
      </w:r>
    </w:p>
    <w:p>
      <w:pPr>
        <w:numPr>
          <w:numId w:val="55"/>
        </w:numPr>
        <w:spacing w:before="120" w:after="120" w:line="288" w:lineRule="auto"/>
        <w:ind w:left="453"/>
        <w:jc w:val="left"/>
      </w:pPr>
      <w:r>
        <w:rPr>
          <w:rFonts w:eastAsia="等线" w:ascii="Arial" w:cs="Arial" w:hAnsi="Arial"/>
          <w:sz w:val="22"/>
        </w:rPr>
        <w:t>Sample exports: Customers, Items, Price/Discount rules to verify field mapping and transformations.</w:t>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color w:val="3370ff"/>
          <w:sz w:val="36"/>
        </w:rPr>
        <w:t xml:space="preserve">3. </w:t>
      </w:r>
      <w:r>
        <w:rPr>
          <w:rFonts w:eastAsia="等线" w:ascii="Arial" w:cs="Arial" w:hAnsi="Arial"/>
          <w:b w:val="true"/>
          <w:sz w:val="36"/>
        </w:rPr>
        <w:t>Customization &amp; Extensions</w:t>
      </w:r>
      <w:bookmarkEnd w:id="10"/>
    </w:p>
    <w:p>
      <w:pPr>
        <w:spacing w:before="120" w:after="120" w:line="288" w:lineRule="auto"/>
        <w:ind w:left="0"/>
        <w:jc w:val="left"/>
      </w:pPr>
      <w:r>
        <w:rPr>
          <w:rFonts w:eastAsia="等线" w:ascii="Arial" w:cs="Arial" w:hAnsi="Arial"/>
          <w:sz w:val="22"/>
        </w:rPr>
        <w:t>MAIA provides a baseline suite of standard features out-of-the-box. However, recognizing that every business has unique workflows, the system supports a broad range of customization and extension options. These are carefully scoped, estimated, and mutually agreed upon prior to execution, ensuring alignment with both business requirements and technical feasibility.</w:t>
      </w:r>
    </w:p>
    <w:p>
      <w:pPr>
        <w:pStyle w:val="2"/>
        <w:spacing w:before="320" w:after="120" w:line="288" w:lineRule="auto"/>
        <w:ind w:left="0"/>
        <w:jc w:val="left"/>
        <w:outlineLvl w:val="1"/>
      </w:pPr>
      <w:bookmarkStart w:name="heading_11" w:id="11"/>
      <w:r>
        <w:rPr>
          <w:rFonts w:eastAsia="等线" w:ascii="Arial" w:cs="Arial" w:hAnsi="Arial"/>
          <w:color w:val="3370ff"/>
          <w:sz w:val="32"/>
        </w:rPr>
        <w:t xml:space="preserve">3.1 </w:t>
      </w:r>
      <w:r>
        <w:rPr>
          <w:rFonts w:eastAsia="等线" w:ascii="Arial" w:cs="Arial" w:hAnsi="Arial"/>
          <w:b w:val="true"/>
          <w:sz w:val="32"/>
        </w:rPr>
        <w:t>Customisations</w:t>
      </w:r>
      <w:bookmarkEnd w:id="11"/>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3.1.1 </w:t>
      </w:r>
      <w:r>
        <w:rPr>
          <w:rFonts w:eastAsia="等线" w:ascii="Arial" w:cs="Arial" w:hAnsi="Arial"/>
          <w:b w:val="true"/>
          <w:sz w:val="30"/>
        </w:rPr>
        <w:t>Operational Document Expansion &amp; Compliance</w:t>
      </w:r>
      <w:bookmarkEnd w:id="12"/>
    </w:p>
    <w:p>
      <w:pPr>
        <w:pStyle w:val="4"/>
        <w:spacing w:before="260" w:after="120" w:line="288" w:lineRule="auto"/>
        <w:ind w:left="0"/>
        <w:jc w:val="left"/>
        <w:outlineLvl w:val="3"/>
      </w:pPr>
      <w:bookmarkStart w:name="heading_13" w:id="13"/>
      <w:r>
        <w:rPr>
          <w:rFonts w:eastAsia="等线" w:ascii="Arial" w:cs="Arial" w:hAnsi="Arial"/>
          <w:color w:val="3370ff"/>
          <w:sz w:val="28"/>
        </w:rPr>
        <w:t xml:space="preserve">3.1.1.1 </w:t>
      </w:r>
      <w:r>
        <w:rPr>
          <w:rFonts w:eastAsia="等线" w:ascii="Arial" w:cs="Arial" w:hAnsi="Arial"/>
          <w:b w:val="true"/>
          <w:sz w:val="28"/>
        </w:rPr>
        <w:t>Comprehensive Document Generation: Support the generation of all required operational and compliance documents, matching Holsen’s specific layouts. This includes:</w:t>
      </w:r>
      <w:bookmarkEnd w:id="13"/>
    </w:p>
    <w:p>
      <w:pPr>
        <w:numPr>
          <w:numId w:val="56"/>
        </w:numPr>
        <w:spacing w:before="120" w:after="120" w:line="288" w:lineRule="auto"/>
        <w:ind w:left="0"/>
        <w:jc w:val="left"/>
      </w:pPr>
      <w:r>
        <w:rPr>
          <w:rFonts w:eastAsia="等线" w:ascii="Arial" w:cs="Arial" w:hAnsi="Arial"/>
          <w:sz w:val="22"/>
        </w:rPr>
        <w:t xml:space="preserve">Certificate of Analysis (COA) </w:t>
      </w:r>
    </w:p>
    <w:p>
      <w:pPr>
        <w:numPr>
          <w:numId w:val="57"/>
        </w:numPr>
        <w:spacing w:before="120" w:after="120" w:line="288" w:lineRule="auto"/>
        <w:ind w:left="0"/>
        <w:jc w:val="left"/>
      </w:pPr>
      <w:r>
        <w:rPr>
          <w:rFonts w:eastAsia="等线" w:ascii="Arial" w:cs="Arial" w:hAnsi="Arial"/>
          <w:sz w:val="22"/>
        </w:rPr>
        <w:t xml:space="preserve">C3 and C1 forms </w:t>
      </w:r>
    </w:p>
    <w:p>
      <w:pPr>
        <w:numPr>
          <w:numId w:val="58"/>
        </w:numPr>
        <w:spacing w:before="120" w:after="120" w:line="288" w:lineRule="auto"/>
        <w:ind w:left="0"/>
        <w:jc w:val="left"/>
      </w:pPr>
      <w:r>
        <w:rPr>
          <w:rFonts w:eastAsia="等线" w:ascii="Arial" w:cs="Arial" w:hAnsi="Arial"/>
          <w:sz w:val="22"/>
        </w:rPr>
        <w:t xml:space="preserve">Blanket POs </w:t>
      </w:r>
    </w:p>
    <w:p>
      <w:pPr>
        <w:numPr>
          <w:numId w:val="59"/>
        </w:numPr>
        <w:spacing w:before="120" w:after="120" w:line="288" w:lineRule="auto"/>
        <w:ind w:left="0"/>
        <w:jc w:val="left"/>
      </w:pPr>
      <w:r>
        <w:rPr>
          <w:rFonts w:eastAsia="等线" w:ascii="Arial" w:cs="Arial" w:hAnsi="Arial"/>
          <w:sz w:val="22"/>
        </w:rPr>
        <w:t xml:space="preserve">Consignment Notes (for outstation 3PLs like GMAX) </w:t>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3.1.1.2 </w:t>
      </w:r>
      <w:r>
        <w:rPr>
          <w:rFonts w:eastAsia="等线" w:ascii="Arial" w:cs="Arial" w:hAnsi="Arial"/>
          <w:b w:val="true"/>
          <w:sz w:val="28"/>
        </w:rPr>
        <w:t>Dynamic COA Management:</w:t>
      </w:r>
      <w:bookmarkEnd w:id="14"/>
    </w:p>
    <w:p>
      <w:pPr>
        <w:numPr>
          <w:numId w:val="60"/>
        </w:numPr>
        <w:spacing w:before="120" w:after="120" w:line="288" w:lineRule="auto"/>
        <w:ind w:left="0"/>
        <w:jc w:val="left"/>
      </w:pPr>
      <w:r>
        <w:rPr>
          <w:rFonts w:eastAsia="等线" w:ascii="Arial" w:cs="Arial" w:hAnsi="Arial"/>
          <w:sz w:val="22"/>
        </w:rPr>
        <w:t>Support standard (generic) COAs and customer-specific "COA with details".</w:t>
      </w:r>
    </w:p>
    <w:p>
      <w:pPr>
        <w:numPr>
          <w:numId w:val="61"/>
        </w:numPr>
        <w:spacing w:before="120" w:after="120" w:line="288" w:lineRule="auto"/>
        <w:ind w:left="0"/>
        <w:jc w:val="left"/>
      </w:pPr>
      <w:r>
        <w:rPr>
          <w:rFonts w:eastAsia="等线" w:ascii="Arial" w:cs="Arial" w:hAnsi="Arial"/>
          <w:sz w:val="22"/>
        </w:rPr>
        <w:t>Allow for customer-specific COA templates that can include details like expiry dates, manufacturing dates, DO numbers, invoice numbers, or modified column orders (e.g., "Result" before "Specification").</w:t>
      </w:r>
    </w:p>
    <w:p>
      <w:pPr>
        <w:numPr>
          <w:numId w:val="62"/>
        </w:numPr>
        <w:spacing w:before="120" w:after="120" w:line="288" w:lineRule="auto"/>
        <w:ind w:left="0"/>
        <w:jc w:val="left"/>
      </w:pPr>
      <w:r>
        <w:rPr>
          <w:rFonts w:eastAsia="等线" w:ascii="Arial" w:cs="Arial" w:hAnsi="Arial"/>
          <w:sz w:val="22"/>
        </w:rPr>
        <w:t>Ability to modify and issue COAs for both manufactured goods and imported trading goods.</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3.1.1.3 </w:t>
      </w:r>
      <w:r>
        <w:rPr>
          <w:rFonts w:eastAsia="等线" w:ascii="Arial" w:cs="Arial" w:hAnsi="Arial"/>
          <w:b w:val="true"/>
          <w:sz w:val="28"/>
        </w:rPr>
        <w:t>Compliance &amp; Batch Data Mapping:</w:t>
      </w:r>
      <w:bookmarkEnd w:id="15"/>
    </w:p>
    <w:p>
      <w:pPr>
        <w:numPr>
          <w:numId w:val="63"/>
        </w:numPr>
        <w:spacing w:before="120" w:after="120" w:line="288" w:lineRule="auto"/>
        <w:ind w:left="0"/>
        <w:jc w:val="left"/>
      </w:pPr>
      <w:r>
        <w:rPr>
          <w:rFonts w:eastAsia="等线" w:ascii="Arial" w:cs="Arial" w:hAnsi="Arial"/>
          <w:sz w:val="22"/>
        </w:rPr>
        <w:t>Assign the correct compliance document (COA, C3, C1) based on customer and order-specific rules.</w:t>
      </w:r>
    </w:p>
    <w:p>
      <w:pPr>
        <w:numPr>
          <w:numId w:val="64"/>
        </w:numPr>
        <w:spacing w:before="120" w:after="120" w:line="288" w:lineRule="auto"/>
        <w:ind w:left="0"/>
        <w:jc w:val="left"/>
      </w:pPr>
      <w:r>
        <w:rPr>
          <w:rFonts w:eastAsia="等线" w:ascii="Arial" w:cs="Arial" w:hAnsi="Arial"/>
          <w:sz w:val="22"/>
        </w:rPr>
        <w:t xml:space="preserve">Ensure that critical tracking data (Batch Number, Lot Number, </w:t>
      </w:r>
      <w:r>
        <w:rPr>
          <w:rFonts w:eastAsia="等线" w:ascii="Arial" w:cs="Arial" w:hAnsi="Arial"/>
          <w:sz w:val="22"/>
        </w:rPr>
        <w:t>K1 Number</w:t>
      </w:r>
      <w:r>
        <w:rPr>
          <w:rFonts w:eastAsia="等线" w:ascii="Arial" w:cs="Arial" w:hAnsi="Arial"/>
          <w:sz w:val="22"/>
        </w:rPr>
        <w:t>) is captured during inventory intake and appears consistently across all related documents (Pick List, DO, Invoice, COA).</w:t>
      </w:r>
    </w:p>
    <w:p>
      <w:pPr>
        <w:pStyle w:val="3"/>
        <w:spacing w:before="300" w:after="120" w:line="288" w:lineRule="auto"/>
        <w:ind w:left="0"/>
        <w:jc w:val="left"/>
        <w:outlineLvl w:val="2"/>
      </w:pPr>
      <w:bookmarkStart w:name="heading_16" w:id="16"/>
      <w:r>
        <w:rPr>
          <w:rFonts w:eastAsia="等线" w:ascii="Arial" w:cs="Arial" w:hAnsi="Arial"/>
          <w:color w:val="3370ff"/>
          <w:sz w:val="30"/>
        </w:rPr>
        <w:t xml:space="preserve">3.1.2 </w:t>
      </w:r>
      <w:r>
        <w:rPr>
          <w:rFonts w:eastAsia="等线" w:ascii="Arial" w:cs="Arial" w:hAnsi="Arial"/>
          <w:b w:val="true"/>
          <w:sz w:val="30"/>
        </w:rPr>
        <w:t>Inventory &amp; Blanket PO Management</w:t>
      </w:r>
      <w:bookmarkEnd w:id="16"/>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3.1.2.1 </w:t>
      </w:r>
      <w:r>
        <w:rPr>
          <w:rFonts w:eastAsia="等线" w:ascii="Arial" w:cs="Arial" w:hAnsi="Arial"/>
          <w:b w:val="true"/>
          <w:sz w:val="28"/>
        </w:rPr>
        <w:t>Batch-Level Inventory Tracking:</w:t>
      </w:r>
      <w:bookmarkEnd w:id="17"/>
    </w:p>
    <w:p>
      <w:pPr>
        <w:numPr>
          <w:numId w:val="65"/>
        </w:numPr>
        <w:spacing w:before="120" w:after="120" w:line="288" w:lineRule="auto"/>
        <w:ind w:left="0"/>
        <w:jc w:val="left"/>
      </w:pPr>
      <w:r>
        <w:rPr>
          <w:rFonts w:eastAsia="等线" w:ascii="Arial" w:cs="Arial" w:hAnsi="Arial"/>
          <w:sz w:val="22"/>
        </w:rPr>
        <w:t>Track all inventory by Batch Number / Lot Number.</w:t>
      </w:r>
    </w:p>
    <w:p>
      <w:pPr>
        <w:numPr>
          <w:numId w:val="66"/>
        </w:numPr>
        <w:spacing w:before="120" w:after="120" w:line="288" w:lineRule="auto"/>
        <w:ind w:left="0"/>
        <w:jc w:val="left"/>
      </w:pPr>
      <w:r>
        <w:rPr>
          <w:rFonts w:eastAsia="等线" w:ascii="Arial" w:cs="Arial" w:hAnsi="Arial"/>
          <w:sz w:val="22"/>
        </w:rPr>
        <w:t>Manage inventory by specific packing sizes (e.g., 25kg bag, 50kg bag) as distinct SKUs.</w:t>
      </w:r>
    </w:p>
    <w:p>
      <w:pPr>
        <w:numPr>
          <w:numId w:val="67"/>
        </w:numPr>
        <w:spacing w:before="120" w:after="120" w:line="288" w:lineRule="auto"/>
        <w:ind w:left="0"/>
        <w:jc w:val="left"/>
      </w:pPr>
      <w:r>
        <w:rPr>
          <w:rFonts w:eastAsia="等线" w:ascii="Arial" w:cs="Arial" w:hAnsi="Arial"/>
          <w:sz w:val="22"/>
        </w:rPr>
        <w:t>Include a conversion calculator (KG-to-Bags) to assist in picking, as orders are placed in KG but picked in bags.</w:t>
      </w:r>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3.1.2.2 </w:t>
      </w:r>
      <w:r>
        <w:rPr>
          <w:rFonts w:eastAsia="等线" w:ascii="Arial" w:cs="Arial" w:hAnsi="Arial"/>
          <w:b w:val="true"/>
          <w:sz w:val="28"/>
        </w:rPr>
        <w:t>Reserved vs. Available Stock Visibility:</w:t>
      </w:r>
      <w:bookmarkEnd w:id="18"/>
    </w:p>
    <w:p>
      <w:pPr>
        <w:numPr>
          <w:numId w:val="68"/>
        </w:numPr>
        <w:spacing w:before="120" w:after="120" w:line="288" w:lineRule="auto"/>
        <w:ind w:left="0"/>
        <w:jc w:val="left"/>
      </w:pPr>
      <w:r>
        <w:rPr>
          <w:rFonts w:eastAsia="等线" w:ascii="Arial" w:cs="Arial" w:hAnsi="Arial"/>
          <w:sz w:val="22"/>
        </w:rPr>
        <w:t>Provide a clear distinction between Total Stock and Available Stock.</w:t>
      </w:r>
    </w:p>
    <w:p>
      <w:pPr>
        <w:numPr>
          <w:numId w:val="69"/>
        </w:numPr>
        <w:spacing w:before="120" w:after="120" w:line="288" w:lineRule="auto"/>
        <w:ind w:left="0"/>
        <w:jc w:val="left"/>
      </w:pPr>
      <w:r>
        <w:rPr>
          <w:rFonts w:eastAsia="等线" w:ascii="Arial" w:cs="Arial" w:hAnsi="Arial"/>
          <w:sz w:val="22"/>
        </w:rPr>
        <w:t>"Available Stock" must reflect Total Stock minus all reserved quantities from confirmed Blanket POs to prevent overselling reserved stock.</w:t>
      </w:r>
    </w:p>
    <w:p>
      <w:pPr>
        <w:pStyle w:val="4"/>
        <w:spacing w:before="260" w:after="120" w:line="288" w:lineRule="auto"/>
        <w:ind w:left="0"/>
        <w:jc w:val="left"/>
        <w:outlineLvl w:val="3"/>
      </w:pPr>
      <w:bookmarkStart w:name="heading_19" w:id="19"/>
      <w:r>
        <w:rPr>
          <w:rFonts w:eastAsia="等线" w:ascii="Arial" w:cs="Arial" w:hAnsi="Arial"/>
          <w:color w:val="3370ff"/>
          <w:sz w:val="28"/>
        </w:rPr>
        <w:t xml:space="preserve">3.1.2.3 </w:t>
      </w:r>
      <w:r>
        <w:rPr>
          <w:rFonts w:eastAsia="等线" w:ascii="Arial" w:cs="Arial" w:hAnsi="Arial"/>
          <w:b w:val="true"/>
          <w:sz w:val="28"/>
        </w:rPr>
        <w:t>Blanket PO &amp; C3-Specific Tracking:</w:t>
      </w:r>
      <w:bookmarkEnd w:id="19"/>
    </w:p>
    <w:p>
      <w:pPr>
        <w:numPr>
          <w:numId w:val="70"/>
        </w:numPr>
        <w:spacing w:before="120" w:after="120" w:line="288" w:lineRule="auto"/>
        <w:ind w:left="0"/>
        <w:jc w:val="left"/>
      </w:pPr>
      <w:r>
        <w:rPr>
          <w:rFonts w:eastAsia="等线" w:ascii="Arial" w:cs="Arial" w:hAnsi="Arial"/>
          <w:sz w:val="22"/>
        </w:rPr>
        <w:t>Digitize and track all Blanket POs, including their total quantity, remaining balance, and expiry.</w:t>
      </w:r>
    </w:p>
    <w:p>
      <w:pPr>
        <w:numPr>
          <w:numId w:val="71"/>
        </w:numPr>
        <w:spacing w:before="120" w:after="120" w:line="288" w:lineRule="auto"/>
        <w:ind w:left="0"/>
        <w:jc w:val="left"/>
      </w:pPr>
      <w:r>
        <w:rPr>
          <w:rFonts w:eastAsia="等线" w:ascii="Arial" w:cs="Arial" w:hAnsi="Arial"/>
          <w:sz w:val="22"/>
        </w:rPr>
        <w:t>Link specific deliveries (DOs) back to a specific Blanket PO to track utilization.</w:t>
      </w:r>
    </w:p>
    <w:p>
      <w:pPr>
        <w:numPr>
          <w:numId w:val="72"/>
        </w:numPr>
        <w:spacing w:before="120" w:after="120" w:line="288" w:lineRule="auto"/>
        <w:ind w:left="0"/>
        <w:jc w:val="left"/>
      </w:pPr>
      <w:r>
        <w:rPr>
          <w:rFonts w:eastAsia="等线" w:ascii="Arial" w:cs="Arial" w:hAnsi="Arial"/>
          <w:sz w:val="22"/>
        </w:rPr>
        <w:t>Manage and track C3-specific stock, which must be reserved only for the specific customers listed on the C3 import document.</w:t>
      </w:r>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3.1.3 </w:t>
      </w:r>
      <w:r>
        <w:rPr>
          <w:rFonts w:eastAsia="等线" w:ascii="Arial" w:cs="Arial" w:hAnsi="Arial"/>
          <w:b w:val="true"/>
          <w:sz w:val="30"/>
        </w:rPr>
        <w:t>Multi-Level Approval Workflows</w:t>
      </w:r>
      <w:bookmarkEnd w:id="20"/>
    </w:p>
    <w:p>
      <w:pPr>
        <w:pStyle w:val="4"/>
        <w:spacing w:before="260" w:after="120" w:line="288" w:lineRule="auto"/>
        <w:ind w:left="0"/>
        <w:jc w:val="left"/>
        <w:outlineLvl w:val="3"/>
      </w:pPr>
      <w:bookmarkStart w:name="heading_21" w:id="21"/>
      <w:r>
        <w:rPr>
          <w:rFonts w:eastAsia="等线" w:ascii="Arial" w:cs="Arial" w:hAnsi="Arial"/>
          <w:color w:val="3370ff"/>
          <w:sz w:val="28"/>
        </w:rPr>
        <w:t xml:space="preserve">3.1.3.1 </w:t>
      </w:r>
      <w:r>
        <w:rPr>
          <w:rFonts w:eastAsia="等线" w:ascii="Arial" w:cs="Arial" w:hAnsi="Arial"/>
          <w:b w:val="true"/>
          <w:sz w:val="28"/>
        </w:rPr>
        <w:t>Price Check Approval:</w:t>
      </w:r>
      <w:bookmarkEnd w:id="21"/>
    </w:p>
    <w:p>
      <w:pPr>
        <w:numPr>
          <w:numId w:val="73"/>
        </w:numPr>
        <w:spacing w:before="120" w:after="120" w:line="288" w:lineRule="auto"/>
        <w:ind w:left="0"/>
        <w:jc w:val="left"/>
      </w:pPr>
      <w:r>
        <w:rPr>
          <w:rFonts w:eastAsia="等线" w:ascii="Arial" w:cs="Arial" w:hAnsi="Arial"/>
          <w:sz w:val="22"/>
        </w:rPr>
        <w:t>For commodity items with fluctuating prices, implement a workflow for sales agents to request a price from management. The approved price is then used in the quotation or sales order.</w:t>
      </w:r>
    </w:p>
    <w:p>
      <w:pPr>
        <w:pStyle w:val="4"/>
        <w:spacing w:before="260" w:after="120" w:line="288" w:lineRule="auto"/>
        <w:ind w:left="0"/>
        <w:jc w:val="left"/>
        <w:outlineLvl w:val="3"/>
      </w:pPr>
      <w:bookmarkStart w:name="heading_22" w:id="22"/>
      <w:r>
        <w:rPr>
          <w:rFonts w:eastAsia="等线" w:ascii="Arial" w:cs="Arial" w:hAnsi="Arial"/>
          <w:color w:val="3370ff"/>
          <w:sz w:val="28"/>
        </w:rPr>
        <w:t xml:space="preserve">3.1.3.2 </w:t>
      </w:r>
      <w:r>
        <w:rPr>
          <w:rFonts w:eastAsia="等线" w:ascii="Arial" w:cs="Arial" w:hAnsi="Arial"/>
          <w:b w:val="true"/>
          <w:sz w:val="28"/>
        </w:rPr>
        <w:t>Delivery Order (DO) Approval:</w:t>
      </w:r>
      <w:bookmarkEnd w:id="22"/>
    </w:p>
    <w:p>
      <w:pPr>
        <w:numPr>
          <w:numId w:val="74"/>
        </w:numPr>
        <w:spacing w:before="120" w:after="120" w:line="288" w:lineRule="auto"/>
        <w:ind w:left="0"/>
        <w:jc w:val="left"/>
      </w:pPr>
      <w:r>
        <w:rPr>
          <w:rFonts w:eastAsia="等线" w:ascii="Arial" w:cs="Arial" w:hAnsi="Arial"/>
          <w:sz w:val="22"/>
        </w:rPr>
        <w:t>All Sales Orders must be routed to a Logistics Approval queue.</w:t>
      </w:r>
    </w:p>
    <w:p>
      <w:pPr>
        <w:numPr>
          <w:numId w:val="75"/>
        </w:numPr>
        <w:spacing w:before="120" w:after="120" w:line="288" w:lineRule="auto"/>
        <w:ind w:left="0"/>
        <w:jc w:val="left"/>
      </w:pPr>
      <w:r>
        <w:rPr>
          <w:rFonts w:eastAsia="等线" w:ascii="Arial" w:cs="Arial" w:hAnsi="Arial"/>
          <w:sz w:val="22"/>
        </w:rPr>
        <w:t>The logistics approver must verify stock availability (checking against reserved/blanket stock) before approving the order for picking and DO creation.</w:t>
      </w:r>
    </w:p>
    <w:p>
      <w:pPr>
        <w:pStyle w:val="4"/>
        <w:spacing w:before="260" w:after="120" w:line="288" w:lineRule="auto"/>
        <w:ind w:left="0"/>
        <w:jc w:val="left"/>
        <w:outlineLvl w:val="3"/>
      </w:pPr>
      <w:bookmarkStart w:name="heading_23" w:id="23"/>
      <w:r>
        <w:rPr>
          <w:rFonts w:eastAsia="等线" w:ascii="Arial" w:cs="Arial" w:hAnsi="Arial"/>
          <w:color w:val="3370ff"/>
          <w:sz w:val="28"/>
        </w:rPr>
        <w:t xml:space="preserve">3.1.3.3 </w:t>
      </w:r>
      <w:r>
        <w:rPr>
          <w:rFonts w:eastAsia="等线" w:ascii="Arial" w:cs="Arial" w:hAnsi="Arial"/>
          <w:b w:val="true"/>
          <w:sz w:val="28"/>
        </w:rPr>
        <w:t>Invoice Approval:</w:t>
      </w:r>
      <w:bookmarkEnd w:id="23"/>
    </w:p>
    <w:p>
      <w:pPr>
        <w:numPr>
          <w:numId w:val="76"/>
        </w:numPr>
        <w:spacing w:before="120" w:after="120" w:line="288" w:lineRule="auto"/>
        <w:ind w:left="0"/>
        <w:jc w:val="left"/>
      </w:pPr>
      <w:r>
        <w:rPr>
          <w:rFonts w:eastAsia="等线" w:ascii="Arial" w:cs="Arial" w:hAnsi="Arial"/>
          <w:sz w:val="22"/>
        </w:rPr>
        <w:t>All generated invoices must be routed to an Accounts Approval queue for verification before being finalized and sent to the customer or submitted for e-invoicing.</w:t>
      </w:r>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3.1.3.4 </w:t>
      </w:r>
      <w:r>
        <w:rPr>
          <w:rFonts w:eastAsia="等线" w:ascii="Arial" w:cs="Arial" w:hAnsi="Arial"/>
          <w:b w:val="true"/>
          <w:sz w:val="28"/>
        </w:rPr>
        <w:t>Payment Term Management &amp; Approvals:</w:t>
      </w:r>
      <w:bookmarkEnd w:id="24"/>
    </w:p>
    <w:p>
      <w:pPr>
        <w:numPr>
          <w:numId w:val="77"/>
        </w:numPr>
        <w:spacing w:before="120" w:after="120" w:line="288" w:lineRule="auto"/>
        <w:ind w:left="0"/>
        <w:jc w:val="left"/>
      </w:pPr>
      <w:r>
        <w:rPr>
          <w:rFonts w:eastAsia="等线" w:ascii="Arial" w:cs="Arial" w:hAnsi="Arial"/>
          <w:sz w:val="22"/>
        </w:rPr>
        <w:t>Implement an approval workflow for changing a customer's payment terms.</w:t>
      </w:r>
    </w:p>
    <w:p>
      <w:pPr>
        <w:numPr>
          <w:numId w:val="78"/>
        </w:numPr>
        <w:spacing w:before="120" w:after="120" w:line="288" w:lineRule="auto"/>
        <w:ind w:left="0"/>
        <w:jc w:val="left"/>
      </w:pPr>
      <w:r>
        <w:rPr>
          <w:rFonts w:eastAsia="等线" w:ascii="Arial" w:cs="Arial" w:hAnsi="Arial"/>
          <w:sz w:val="22"/>
        </w:rPr>
        <w:t>Allow management to flag "bad paymasters" and switch their status to "Cash Before Delivery", which the system will enforce on future orders.</w:t>
      </w:r>
    </w:p>
    <w:p>
      <w:pPr>
        <w:pStyle w:val="3"/>
        <w:spacing w:before="300" w:after="120" w:line="288" w:lineRule="auto"/>
        <w:ind w:left="0"/>
        <w:jc w:val="left"/>
        <w:outlineLvl w:val="2"/>
      </w:pPr>
      <w:bookmarkStart w:name="heading_25" w:id="25"/>
      <w:r>
        <w:rPr>
          <w:rFonts w:eastAsia="等线" w:ascii="Arial" w:cs="Arial" w:hAnsi="Arial"/>
          <w:color w:val="3370ff"/>
          <w:sz w:val="30"/>
        </w:rPr>
        <w:t xml:space="preserve">3.1.4 </w:t>
      </w:r>
      <w:r>
        <w:rPr>
          <w:rFonts w:eastAsia="等线" w:ascii="Arial" w:cs="Arial" w:hAnsi="Arial"/>
          <w:b w:val="true"/>
          <w:sz w:val="30"/>
        </w:rPr>
        <w:t>Automation &amp; Reminders</w:t>
      </w:r>
      <w:bookmarkEnd w:id="25"/>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3.1.4.1 </w:t>
      </w:r>
      <w:r>
        <w:rPr>
          <w:rFonts w:eastAsia="等线" w:ascii="Arial" w:cs="Arial" w:hAnsi="Arial"/>
          <w:b w:val="true"/>
          <w:sz w:val="28"/>
        </w:rPr>
        <w:t>Automated Document Queuing:</w:t>
      </w:r>
      <w:bookmarkEnd w:id="26"/>
    </w:p>
    <w:p>
      <w:pPr>
        <w:numPr>
          <w:numId w:val="79"/>
        </w:numPr>
        <w:spacing w:before="120" w:after="120" w:line="288" w:lineRule="auto"/>
        <w:ind w:left="0"/>
        <w:jc w:val="left"/>
      </w:pPr>
      <w:r>
        <w:rPr>
          <w:rFonts w:eastAsia="等线" w:ascii="Arial" w:cs="Arial" w:hAnsi="Arial"/>
          <w:sz w:val="22"/>
        </w:rPr>
        <w:t>Automatically queue a draft DO for logistics approval after a Sales Order is confirmed.</w:t>
      </w:r>
    </w:p>
    <w:p>
      <w:pPr>
        <w:numPr>
          <w:numId w:val="80"/>
        </w:numPr>
        <w:spacing w:before="120" w:after="120" w:line="288" w:lineRule="auto"/>
        <w:ind w:left="0"/>
        <w:jc w:val="left"/>
      </w:pPr>
      <w:r>
        <w:rPr>
          <w:rFonts w:eastAsia="等线" w:ascii="Arial" w:cs="Arial" w:hAnsi="Arial"/>
          <w:sz w:val="22"/>
        </w:rPr>
        <w:t>Automatically queue a draft Invoice for accounts approval after a delivery is marked "Completed".</w:t>
      </w: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3.1.4.2 </w:t>
      </w:r>
      <w:r>
        <w:rPr>
          <w:rFonts w:eastAsia="等线" w:ascii="Arial" w:cs="Arial" w:hAnsi="Arial"/>
          <w:b w:val="true"/>
          <w:sz w:val="28"/>
        </w:rPr>
        <w:t>Blanket PO &amp; Stock Reminders:</w:t>
      </w:r>
      <w:bookmarkEnd w:id="27"/>
    </w:p>
    <w:p>
      <w:pPr>
        <w:numPr>
          <w:numId w:val="81"/>
        </w:numPr>
        <w:spacing w:before="120" w:after="120" w:line="288" w:lineRule="auto"/>
        <w:ind w:left="0"/>
        <w:jc w:val="left"/>
      </w:pPr>
      <w:r>
        <w:rPr>
          <w:rFonts w:eastAsia="等线" w:ascii="Arial" w:cs="Arial" w:hAnsi="Arial"/>
          <w:sz w:val="22"/>
        </w:rPr>
        <w:t>Notify sales and management when a Blanket PO is running low on quantity or approaching its expiry date.</w:t>
      </w:r>
    </w:p>
    <w:p>
      <w:pPr>
        <w:pStyle w:val="4"/>
        <w:spacing w:before="260" w:after="120" w:line="288" w:lineRule="auto"/>
        <w:ind w:left="0"/>
        <w:jc w:val="left"/>
        <w:outlineLvl w:val="3"/>
      </w:pPr>
      <w:bookmarkStart w:name="heading_28" w:id="28"/>
      <w:r>
        <w:rPr>
          <w:rFonts w:eastAsia="等线" w:ascii="Arial" w:cs="Arial" w:hAnsi="Arial"/>
          <w:color w:val="3370ff"/>
          <w:sz w:val="28"/>
        </w:rPr>
        <w:t xml:space="preserve">3.1.4.3 </w:t>
      </w:r>
      <w:r>
        <w:rPr>
          <w:rFonts w:eastAsia="等线" w:ascii="Arial" w:cs="Arial" w:hAnsi="Arial"/>
          <w:b w:val="true"/>
          <w:sz w:val="28"/>
        </w:rPr>
        <w:t>Trigger Low Stock Alerts based on two criteria:</w:t>
      </w:r>
      <w:bookmarkEnd w:id="28"/>
    </w:p>
    <w:p>
      <w:pPr>
        <w:numPr>
          <w:numId w:val="82"/>
        </w:numPr>
        <w:spacing w:before="120" w:after="120" w:line="288" w:lineRule="auto"/>
        <w:ind w:left="0"/>
        <w:jc w:val="left"/>
      </w:pPr>
      <w:r>
        <w:rPr>
          <w:rFonts w:eastAsia="等线" w:ascii="Arial" w:cs="Arial" w:hAnsi="Arial"/>
          <w:sz w:val="22"/>
        </w:rPr>
        <w:t>When inventory hits a pre-defined reorder threshold (safety stock).</w:t>
      </w:r>
    </w:p>
    <w:p>
      <w:pPr>
        <w:numPr>
          <w:numId w:val="83"/>
        </w:numPr>
        <w:spacing w:before="120" w:after="120" w:line="288" w:lineRule="auto"/>
        <w:ind w:left="0"/>
        <w:jc w:val="left"/>
      </w:pPr>
      <w:r>
        <w:rPr>
          <w:rFonts w:eastAsia="等线" w:ascii="Arial" w:cs="Arial" w:hAnsi="Arial"/>
          <w:sz w:val="22"/>
        </w:rPr>
        <w:t>When Available Stock (Total Stock - Reserved) is lower than the total outstanding Blanket Order commitments.</w:t>
      </w:r>
    </w:p>
    <w:p>
      <w:pPr>
        <w:pStyle w:val="4"/>
        <w:spacing w:before="260" w:after="120" w:line="288" w:lineRule="auto"/>
        <w:ind w:left="0"/>
        <w:jc w:val="left"/>
        <w:outlineLvl w:val="3"/>
      </w:pPr>
      <w:bookmarkStart w:name="heading_29" w:id="29"/>
      <w:r>
        <w:rPr>
          <w:rFonts w:eastAsia="等线" w:ascii="Arial" w:cs="Arial" w:hAnsi="Arial"/>
          <w:color w:val="3370ff"/>
          <w:sz w:val="28"/>
        </w:rPr>
        <w:t xml:space="preserve">3.1.4.4 </w:t>
      </w:r>
      <w:r>
        <w:rPr>
          <w:rFonts w:eastAsia="等线" w:ascii="Arial" w:cs="Arial" w:hAnsi="Arial"/>
          <w:b w:val="true"/>
          <w:sz w:val="28"/>
        </w:rPr>
        <w:t>Payment Chasing Automation:</w:t>
      </w:r>
      <w:bookmarkEnd w:id="29"/>
    </w:p>
    <w:p>
      <w:pPr>
        <w:numPr>
          <w:numId w:val="84"/>
        </w:numPr>
        <w:spacing w:before="120" w:after="120" w:line="288" w:lineRule="auto"/>
        <w:ind w:left="0"/>
        <w:jc w:val="left"/>
      </w:pPr>
      <w:r>
        <w:rPr>
          <w:rFonts w:eastAsia="等线" w:ascii="Arial" w:cs="Arial" w:hAnsi="Arial"/>
          <w:sz w:val="22"/>
        </w:rPr>
        <w:t>Automate payment reminders for outstanding invoices.</w:t>
      </w:r>
    </w:p>
    <w:p>
      <w:pPr>
        <w:numPr>
          <w:numId w:val="85"/>
        </w:numPr>
        <w:spacing w:before="120" w:after="120" w:line="288" w:lineRule="auto"/>
        <w:ind w:left="0"/>
        <w:jc w:val="left"/>
      </w:pPr>
      <w:r>
        <w:rPr>
          <w:rFonts w:eastAsia="等线" w:ascii="Arial" w:cs="Arial" w:hAnsi="Arial"/>
          <w:sz w:val="22"/>
        </w:rPr>
        <w:t>Generate and display a real-time "Debtors List" (based on UBS data) showing overdue accounts, which is currently a time-consuming manual task.</w:t>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3.1.5 </w:t>
      </w:r>
      <w:r>
        <w:rPr>
          <w:rFonts w:eastAsia="等线" w:ascii="Arial" w:cs="Arial" w:hAnsi="Arial"/>
          <w:b w:val="true"/>
          <w:sz w:val="30"/>
        </w:rPr>
        <w:t>Operational Enhancements &amp; Analytics</w:t>
      </w:r>
      <w:bookmarkEnd w:id="30"/>
    </w:p>
    <w:p>
      <w:pPr>
        <w:pStyle w:val="4"/>
        <w:spacing w:before="260" w:after="120" w:line="288" w:lineRule="auto"/>
        <w:ind w:left="0"/>
        <w:jc w:val="left"/>
        <w:outlineLvl w:val="3"/>
      </w:pPr>
      <w:bookmarkStart w:name="heading_31" w:id="31"/>
      <w:r>
        <w:rPr>
          <w:rFonts w:eastAsia="等线" w:ascii="Arial" w:cs="Arial" w:hAnsi="Arial"/>
          <w:color w:val="3370ff"/>
          <w:sz w:val="28"/>
        </w:rPr>
        <w:t xml:space="preserve">3.1.5.1 </w:t>
      </w:r>
      <w:r>
        <w:rPr>
          <w:rFonts w:eastAsia="等线" w:ascii="Arial" w:cs="Arial" w:hAnsi="Arial"/>
          <w:b w:val="true"/>
          <w:sz w:val="28"/>
        </w:rPr>
        <w:t>Commodity Price Tracking:</w:t>
      </w:r>
      <w:bookmarkEnd w:id="31"/>
    </w:p>
    <w:p>
      <w:pPr>
        <w:numPr>
          <w:numId w:val="86"/>
        </w:numPr>
        <w:spacing w:before="120" w:after="120" w:line="288" w:lineRule="auto"/>
        <w:ind w:left="0"/>
        <w:jc w:val="left"/>
      </w:pPr>
      <w:r>
        <w:rPr>
          <w:rFonts w:eastAsia="等线" w:ascii="Arial" w:cs="Arial" w:hAnsi="Arial"/>
          <w:sz w:val="22"/>
        </w:rPr>
        <w:t>Create a module to track and log commodity price changes for management review and to correlate with market data (e.g., LME).</w:t>
      </w:r>
    </w:p>
    <w:p>
      <w:pPr>
        <w:pStyle w:val="4"/>
        <w:spacing w:before="260" w:after="120" w:line="288" w:lineRule="auto"/>
        <w:ind w:left="0"/>
        <w:jc w:val="left"/>
        <w:outlineLvl w:val="3"/>
      </w:pPr>
      <w:bookmarkStart w:name="heading_32" w:id="32"/>
      <w:r>
        <w:rPr>
          <w:rFonts w:eastAsia="等线" w:ascii="Arial" w:cs="Arial" w:hAnsi="Arial"/>
          <w:color w:val="3370ff"/>
          <w:sz w:val="28"/>
        </w:rPr>
        <w:t xml:space="preserve">3.1.5.2 </w:t>
      </w:r>
      <w:r>
        <w:rPr>
          <w:rFonts w:eastAsia="等线" w:ascii="Arial" w:cs="Arial" w:hAnsi="Arial"/>
          <w:b w:val="true"/>
          <w:sz w:val="28"/>
        </w:rPr>
        <w:t>Compliance &amp; Batch Traceability Reporting:</w:t>
      </w:r>
      <w:bookmarkEnd w:id="32"/>
    </w:p>
    <w:p>
      <w:pPr>
        <w:numPr>
          <w:numId w:val="87"/>
        </w:numPr>
        <w:spacing w:before="120" w:after="120" w:line="288" w:lineRule="auto"/>
        <w:ind w:left="0"/>
        <w:jc w:val="left"/>
      </w:pPr>
      <w:r>
        <w:rPr>
          <w:rFonts w:eastAsia="等线" w:ascii="Arial" w:cs="Arial" w:hAnsi="Arial"/>
          <w:sz w:val="22"/>
        </w:rPr>
        <w:t>Provide enhanced reporting and dashboard visibility for C3/C1/K1 and batch number tracking to simplify audits and compliance checks.</w:t>
      </w:r>
    </w:p>
    <w:p>
      <w:pPr>
        <w:pStyle w:val="4"/>
        <w:spacing w:before="260" w:after="120" w:line="288" w:lineRule="auto"/>
        <w:ind w:left="0"/>
        <w:jc w:val="left"/>
        <w:outlineLvl w:val="3"/>
      </w:pPr>
      <w:bookmarkStart w:name="heading_33" w:id="33"/>
      <w:r>
        <w:rPr>
          <w:rFonts w:eastAsia="等线" w:ascii="Arial" w:cs="Arial" w:hAnsi="Arial"/>
          <w:color w:val="3370ff"/>
          <w:sz w:val="28"/>
        </w:rPr>
        <w:t xml:space="preserve">3.1.5.3 </w:t>
      </w:r>
      <w:r>
        <w:rPr>
          <w:rFonts w:eastAsia="等线" w:ascii="Arial" w:cs="Arial" w:hAnsi="Arial"/>
          <w:b w:val="true"/>
          <w:sz w:val="28"/>
        </w:rPr>
        <w:t>Reorder Assistance (Forecasting Support):</w:t>
      </w:r>
      <w:bookmarkEnd w:id="33"/>
    </w:p>
    <w:p>
      <w:pPr>
        <w:numPr>
          <w:numId w:val="88"/>
        </w:numPr>
        <w:spacing w:before="120" w:after="120" w:line="288" w:lineRule="auto"/>
        <w:ind w:left="0"/>
        <w:jc w:val="left"/>
      </w:pPr>
      <w:r>
        <w:rPr>
          <w:rFonts w:eastAsia="等线" w:ascii="Arial" w:cs="Arial" w:hAnsi="Arial"/>
          <w:sz w:val="22"/>
        </w:rPr>
        <w:t>Develop a reorder planning tool based on the management's current Excel model.</w:t>
      </w:r>
    </w:p>
    <w:p>
      <w:pPr>
        <w:numPr>
          <w:numId w:val="89"/>
        </w:numPr>
        <w:spacing w:before="120" w:after="120" w:line="288" w:lineRule="auto"/>
        <w:ind w:left="0"/>
        <w:jc w:val="left"/>
      </w:pPr>
      <w:r>
        <w:rPr>
          <w:rFonts w:eastAsia="等线" w:ascii="Arial" w:cs="Arial" w:hAnsi="Arial"/>
          <w:sz w:val="22"/>
        </w:rPr>
        <w:t>The tool will allow management to input a manual "Estimated Pooling" (Forecast) per item.</w:t>
      </w:r>
    </w:p>
    <w:p>
      <w:pPr>
        <w:numPr>
          <w:numId w:val="90"/>
        </w:numPr>
        <w:spacing w:before="120" w:after="120" w:line="288" w:lineRule="auto"/>
        <w:ind w:left="0"/>
        <w:jc w:val="left"/>
      </w:pPr>
      <w:r>
        <w:rPr>
          <w:rFonts w:eastAsia="等线" w:ascii="Arial" w:cs="Arial" w:hAnsi="Arial"/>
          <w:sz w:val="22"/>
        </w:rPr>
        <w:t>The system will use this forecast, along with actual delivered quantities (from DOs) and inbound shipment data, to provide a clear timeline of when new stock must be ordered.</w:t>
      </w:r>
    </w:p>
    <w:p>
      <w:pPr>
        <w:spacing w:before="120" w:after="120" w:line="288" w:lineRule="auto"/>
        <w:ind w:left="0"/>
        <w:jc w:val="left"/>
      </w:pPr>
    </w:p>
    <w:p>
      <w:pPr>
        <w:pStyle w:val="1"/>
        <w:spacing w:before="380" w:after="140" w:line="288" w:lineRule="auto"/>
        <w:ind w:left="0"/>
        <w:jc w:val="left"/>
        <w:outlineLvl w:val="0"/>
      </w:pPr>
      <w:bookmarkStart w:name="heading_34" w:id="34"/>
      <w:r>
        <w:rPr>
          <w:rFonts w:eastAsia="等线" w:ascii="Arial" w:cs="Arial" w:hAnsi="Arial"/>
          <w:color w:val="3370ff"/>
          <w:sz w:val="36"/>
        </w:rPr>
        <w:t xml:space="preserve">4. </w:t>
      </w:r>
      <w:r>
        <w:rPr>
          <w:rFonts w:eastAsia="等线" w:ascii="Arial" w:cs="Arial" w:hAnsi="Arial"/>
          <w:b w:val="true"/>
          <w:sz w:val="36"/>
        </w:rPr>
        <w:t xml:space="preserve">Estimated Timelines </w:t>
      </w:r>
      <w:bookmarkEnd w:id="34"/>
    </w:p>
    <w:p>
      <w:pPr>
        <w:spacing w:before="120" w:after="120" w:line="288" w:lineRule="auto"/>
        <w:ind w:left="0"/>
        <w:jc w:val="left"/>
      </w:pPr>
      <w:r>
        <w:rPr>
          <w:rFonts w:eastAsia="等线" w:ascii="Arial" w:cs="Arial" w:hAnsi="Arial"/>
          <w:b w:val="true"/>
          <w:sz w:val="22"/>
        </w:rPr>
        <w:t>Phase 1: Base MAIA System (per Section 2: Product Specifications)</w:t>
      </w:r>
      <w:r>
        <w:rPr>
          <w:rFonts w:eastAsia="等线" w:ascii="Arial" w:cs="Arial" w:hAnsi="Arial"/>
          <w:sz w:val="22"/>
        </w:rPr>
        <w:br/>
      </w:r>
      <w:r>
        <w:rPr>
          <w:rFonts w:eastAsia="等线" w:ascii="Arial" w:cs="Arial" w:hAnsi="Arial"/>
          <w:sz w:val="22"/>
        </w:rPr>
        <w:t xml:space="preserve">Deliver and go-live with the baseline MAIA features outlined in </w:t>
      </w:r>
      <w:r>
        <w:rPr>
          <w:rFonts w:eastAsia="等线" w:ascii="Arial" w:cs="Arial" w:hAnsi="Arial"/>
          <w:b w:val="true"/>
          <w:sz w:val="22"/>
        </w:rPr>
        <w:t>Section 2</w:t>
      </w:r>
      <w:r>
        <w:rPr>
          <w:rFonts w:eastAsia="等线" w:ascii="Arial" w:cs="Arial" w:hAnsi="Arial"/>
          <w:sz w:val="22"/>
        </w:rPr>
        <w:t>. Indicative activities and durations: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90"/>
        <w:gridCol w:w="2610"/>
      </w:tblGrid>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Item</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Indicative Time Taken</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Onboarding &amp; Setup</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Configuration &amp; Customisation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Training &amp; UAT</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bl>
    <w:p>
      <w:pPr>
        <w:spacing w:before="120" w:after="120" w:line="288" w:lineRule="auto"/>
        <w:ind w:left="0"/>
        <w:jc w:val="left"/>
      </w:pPr>
      <w:r>
        <w:rPr>
          <w:rFonts w:eastAsia="等线" w:ascii="Arial" w:cs="Arial" w:hAnsi="Arial"/>
          <w:b w:val="true"/>
          <w:sz w:val="22"/>
        </w:rPr>
        <w:t>Phase 2: Customization &amp; Extensions (per Section 3)</w:t>
      </w:r>
    </w:p>
    <w:p>
      <w:pPr>
        <w:spacing w:before="120" w:after="120" w:line="288" w:lineRule="auto"/>
        <w:ind w:left="0"/>
        <w:jc w:val="left"/>
      </w:pPr>
      <w:r>
        <w:rPr>
          <w:rFonts w:eastAsia="等线" w:ascii="Arial" w:cs="Arial" w:hAnsi="Arial"/>
          <w:sz w:val="22"/>
        </w:rPr>
        <w:t xml:space="preserve">In addition to Phase 1, we will design, build, and release the agreed customisations listed in </w:t>
      </w:r>
      <w:r>
        <w:rPr>
          <w:rFonts w:eastAsia="等线" w:ascii="Arial" w:cs="Arial" w:hAnsi="Arial"/>
          <w:b w:val="true"/>
          <w:sz w:val="22"/>
        </w:rPr>
        <w:t>Section 3</w:t>
      </w:r>
      <w:r>
        <w:rPr>
          <w:rFonts w:eastAsia="等线" w:ascii="Arial" w:cs="Arial" w:hAnsi="Arial"/>
          <w:sz w:val="22"/>
        </w:rPr>
        <w:t xml:space="preserve">.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90"/>
        <w:gridCol w:w="2610"/>
      </w:tblGrid>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Item</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Indicative Time Taken</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Design &amp; Detailed Scoping</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Build &amp; Integration</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 weeks</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User Training &amp; UAT</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r>
        <w:tc>
          <w:tcPr>
            <w:tcW w:w="33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Go-Live &amp; Hypercare</w:t>
            </w:r>
          </w:p>
        </w:tc>
        <w:tc>
          <w:tcPr>
            <w:tcW w:w="26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weeks</w:t>
            </w:r>
          </w:p>
        </w:tc>
      </w:tr>
    </w:tbl>
    <w:p>
      <w:pPr>
        <w:spacing w:before="120" w:after="120" w:line="288" w:lineRule="auto"/>
        <w:ind w:left="0"/>
        <w:jc w:val="left"/>
      </w:pPr>
      <w:r>
        <w:rPr>
          <w:rFonts w:eastAsia="等线" w:ascii="Arial" w:cs="Arial" w:hAnsi="Arial"/>
          <w:i w:val="true"/>
          <w:sz w:val="22"/>
        </w:rPr>
        <w:t xml:space="preserve">Notes: All durations are indicative and depend on scope complexity and client responsiveness (approvals/clarifications typically within </w:t>
      </w:r>
      <w:r>
        <w:rPr>
          <w:rFonts w:eastAsia="等线" w:ascii="Arial" w:cs="Arial" w:hAnsi="Arial"/>
          <w:b w:val="true"/>
          <w:i w:val="true"/>
          <w:sz w:val="22"/>
        </w:rPr>
        <w:t>2–3 working days</w:t>
      </w:r>
      <w:r>
        <w:rPr>
          <w:rFonts w:eastAsia="等线" w:ascii="Arial" w:cs="Arial" w:hAnsi="Arial"/>
          <w:i w:val="true"/>
          <w:sz w:val="22"/>
        </w:rPr>
        <w:t xml:space="preserve"> as outlined in Client Commitments).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5" w:id="35"/>
      <w:r>
        <w:rPr>
          <w:rFonts w:eastAsia="等线" w:ascii="Arial" w:cs="Arial" w:hAnsi="Arial"/>
          <w:color w:val="3370ff"/>
          <w:sz w:val="36"/>
        </w:rPr>
        <w:t xml:space="preserve">5. </w:t>
      </w:r>
      <w:r>
        <w:rPr>
          <w:rFonts w:eastAsia="等线" w:ascii="Arial" w:cs="Arial" w:hAnsi="Arial"/>
          <w:b w:val="true"/>
          <w:sz w:val="36"/>
        </w:rPr>
        <w:t>Commercial Structure</w:t>
      </w:r>
      <w:bookmarkEnd w:id="35"/>
    </w:p>
    <w:p>
      <w:pPr>
        <w:numPr>
          <w:numId w:val="91"/>
        </w:numPr>
        <w:spacing w:before="120" w:after="120" w:line="288" w:lineRule="auto"/>
        <w:ind w:left="0"/>
        <w:jc w:val="left"/>
      </w:pPr>
      <w:r>
        <w:rPr>
          <w:rFonts w:eastAsia="等线" w:ascii="Arial" w:cs="Arial" w:hAnsi="Arial"/>
          <w:b w:val="true"/>
          <w:sz w:val="22"/>
        </w:rPr>
        <w:t>Pricing Model</w:t>
      </w:r>
      <w:r>
        <w:rPr>
          <w:rFonts w:eastAsia="等线" w:ascii="Arial" w:cs="Arial" w:hAnsi="Arial"/>
          <w:sz w:val="22"/>
        </w:rPr>
        <w:t>: Subscription-based (monthly), with tiered pricing (Enterprise)</w:t>
      </w:r>
    </w:p>
    <w:p>
      <w:pPr>
        <w:numPr>
          <w:numId w:val="92"/>
        </w:numPr>
        <w:spacing w:before="120" w:after="120" w:line="288" w:lineRule="auto"/>
        <w:ind w:left="0"/>
        <w:jc w:val="left"/>
      </w:pPr>
      <w:r>
        <w:rPr>
          <w:rFonts w:eastAsia="等线" w:ascii="Arial" w:cs="Arial" w:hAnsi="Arial"/>
          <w:b w:val="true"/>
          <w:sz w:val="22"/>
        </w:rPr>
        <w:t>Customization Fees</w:t>
      </w:r>
      <w:r>
        <w:rPr>
          <w:rFonts w:eastAsia="等线" w:ascii="Arial" w:cs="Arial" w:hAnsi="Arial"/>
          <w:sz w:val="22"/>
        </w:rPr>
        <w:t>: Quoted separately on a time-and-materials or fixed-price basis</w:t>
      </w:r>
    </w:p>
    <w:p>
      <w:pPr>
        <w:numPr>
          <w:numId w:val="93"/>
        </w:numPr>
        <w:spacing w:before="120" w:after="120" w:line="288" w:lineRule="auto"/>
        <w:ind w:left="0"/>
        <w:jc w:val="left"/>
      </w:pPr>
      <w:r>
        <w:rPr>
          <w:rFonts w:eastAsia="等线" w:ascii="Arial" w:cs="Arial" w:hAnsi="Arial"/>
          <w:b w:val="true"/>
          <w:sz w:val="22"/>
        </w:rPr>
        <w:t>Payment Terms</w:t>
      </w:r>
      <w:r>
        <w:rPr>
          <w:rFonts w:eastAsia="等线" w:ascii="Arial" w:cs="Arial" w:hAnsi="Arial"/>
          <w:sz w:val="22"/>
        </w:rPr>
        <w:t>: Net 30 days (unless otherwise agreed)</w:t>
      </w:r>
    </w:p>
    <w:p>
      <w:pPr>
        <w:numPr>
          <w:numId w:val="94"/>
        </w:numPr>
        <w:spacing w:before="120" w:after="120" w:line="288" w:lineRule="auto"/>
        <w:ind w:left="0"/>
        <w:jc w:val="left"/>
      </w:pPr>
      <w:r>
        <w:rPr>
          <w:rFonts w:eastAsia="等线" w:ascii="Arial" w:cs="Arial" w:hAnsi="Arial"/>
          <w:b w:val="true"/>
          <w:sz w:val="22"/>
        </w:rPr>
        <w:t>Renewal &amp; Escalation</w:t>
      </w:r>
      <w:r>
        <w:rPr>
          <w:rFonts w:eastAsia="等线" w:ascii="Arial" w:cs="Arial" w:hAnsi="Arial"/>
          <w:sz w:val="22"/>
        </w:rPr>
        <w:t>: Annual price review, inflationary adjustments, or additional usage-based charges</w:t>
      </w:r>
    </w:p>
    <w:p>
      <w:pPr>
        <w:pStyle w:val="2"/>
        <w:spacing w:before="320" w:after="120" w:line="288" w:lineRule="auto"/>
        <w:ind w:left="0"/>
        <w:jc w:val="left"/>
        <w:outlineLvl w:val="1"/>
      </w:pPr>
      <w:bookmarkStart w:name="heading_36" w:id="36"/>
      <w:r>
        <w:rPr>
          <w:rFonts w:eastAsia="等线" w:ascii="Arial" w:cs="Arial" w:hAnsi="Arial"/>
          <w:color w:val="3370ff"/>
          <w:sz w:val="32"/>
        </w:rPr>
        <w:t xml:space="preserve">5.1 </w:t>
      </w:r>
      <w:r>
        <w:rPr>
          <w:rFonts w:eastAsia="等线" w:ascii="Arial" w:cs="Arial" w:hAnsi="Arial"/>
          <w:b w:val="true"/>
          <w:sz w:val="32"/>
        </w:rPr>
        <w:t>One-off Development Cost</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845"/>
        <w:gridCol w:w="2760"/>
      </w:tblGrid>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w:t>
            </w:r>
          </w:p>
        </w:tc>
      </w:tr>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Core</w:t>
            </w:r>
          </w:p>
          <w:p>
            <w:pPr>
              <w:numPr>
                <w:numId w:val="95"/>
              </w:numPr>
              <w:spacing w:before="120" w:after="120" w:line="288" w:lineRule="auto"/>
              <w:ind w:left="0"/>
              <w:jc w:val="left"/>
            </w:pPr>
            <w:r>
              <w:rPr>
                <w:rFonts w:eastAsia="等线" w:ascii="Arial" w:cs="Arial" w:hAnsi="Arial"/>
                <w:sz w:val="22"/>
              </w:rPr>
              <w:t>Baseline Enterprise MAIA System</w:t>
            </w:r>
          </w:p>
          <w:p>
            <w:pPr>
              <w:numPr>
                <w:numId w:val="96"/>
              </w:numPr>
              <w:spacing w:before="120" w:after="120" w:line="288" w:lineRule="auto"/>
              <w:ind w:left="0"/>
              <w:jc w:val="left"/>
            </w:pPr>
            <w:r>
              <w:rPr>
                <w:rFonts w:eastAsia="等线" w:ascii="Arial" w:cs="Arial" w:hAnsi="Arial"/>
                <w:sz w:val="22"/>
              </w:rPr>
              <w:t>Periodic System and Feature Updates</w:t>
            </w:r>
          </w:p>
          <w:p>
            <w:pPr>
              <w:numPr>
                <w:numId w:val="97"/>
              </w:numPr>
              <w:spacing w:before="120" w:after="120" w:line="288" w:lineRule="auto"/>
              <w:ind w:left="0"/>
              <w:jc w:val="left"/>
            </w:pPr>
            <w:r>
              <w:rPr>
                <w:rFonts w:eastAsia="等线" w:ascii="Arial" w:cs="Arial" w:hAnsi="Arial"/>
                <w:sz w:val="22"/>
              </w:rPr>
              <w:t>Storage, Model Training, Ingestion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48,000</w:t>
            </w:r>
          </w:p>
        </w:tc>
      </w:tr>
      <w:tr>
        <w:tc>
          <w:tcPr>
            <w:tcW w:w="48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u w:val="single"/>
              </w:rPr>
              <w:t>Customizations</w:t>
            </w:r>
          </w:p>
          <w:p>
            <w:pPr>
              <w:numPr>
                <w:numId w:val="98"/>
              </w:numPr>
              <w:spacing w:before="120" w:after="120" w:line="288" w:lineRule="auto"/>
              <w:ind w:left="0"/>
              <w:jc w:val="left"/>
            </w:pPr>
            <w:r>
              <w:rPr>
                <w:rFonts w:eastAsia="等线" w:ascii="Arial" w:cs="Arial" w:hAnsi="Arial"/>
                <w:sz w:val="22"/>
              </w:rPr>
              <w:t>Operational Document Expansion &amp; Compliance</w:t>
            </w:r>
          </w:p>
          <w:p>
            <w:pPr>
              <w:numPr>
                <w:numId w:val="99"/>
              </w:numPr>
              <w:spacing w:before="120" w:after="120" w:line="288" w:lineRule="auto"/>
              <w:ind w:left="0"/>
              <w:jc w:val="left"/>
            </w:pPr>
            <w:r>
              <w:rPr>
                <w:rFonts w:eastAsia="等线" w:ascii="Arial" w:cs="Arial" w:hAnsi="Arial"/>
                <w:sz w:val="22"/>
              </w:rPr>
              <w:t>Inventory &amp; Blanket PO Management</w:t>
            </w:r>
          </w:p>
          <w:p>
            <w:pPr>
              <w:numPr>
                <w:numId w:val="100"/>
              </w:numPr>
              <w:spacing w:before="120" w:after="120" w:line="288" w:lineRule="auto"/>
              <w:ind w:left="0"/>
              <w:jc w:val="left"/>
            </w:pPr>
            <w:r>
              <w:rPr>
                <w:rFonts w:eastAsia="等线" w:ascii="Arial" w:cs="Arial" w:hAnsi="Arial"/>
                <w:sz w:val="22"/>
              </w:rPr>
              <w:t>Multi-Level Approval Workflows</w:t>
            </w:r>
          </w:p>
          <w:p>
            <w:pPr>
              <w:numPr>
                <w:numId w:val="101"/>
              </w:numPr>
              <w:spacing w:before="120" w:after="120" w:line="288" w:lineRule="auto"/>
              <w:ind w:left="0"/>
              <w:jc w:val="left"/>
            </w:pPr>
            <w:r>
              <w:rPr>
                <w:rFonts w:eastAsia="等线" w:ascii="Arial" w:cs="Arial" w:hAnsi="Arial"/>
                <w:sz w:val="22"/>
              </w:rPr>
              <w:t>Automation &amp; Reminders</w:t>
            </w:r>
          </w:p>
          <w:p>
            <w:pPr>
              <w:numPr>
                <w:numId w:val="102"/>
              </w:numPr>
              <w:spacing w:before="120" w:after="120" w:line="288" w:lineRule="auto"/>
              <w:ind w:left="0"/>
              <w:jc w:val="left"/>
            </w:pPr>
            <w:r>
              <w:rPr>
                <w:rFonts w:eastAsia="等线" w:ascii="Arial" w:cs="Arial" w:hAnsi="Arial"/>
                <w:sz w:val="22"/>
              </w:rPr>
              <w:t>Operational Enhancements &amp; Analytics</w:t>
            </w:r>
          </w:p>
        </w:tc>
        <w:tc>
          <w:tcPr>
            <w:tcW w:w="2760" w:type="dxa"/>
            <w:tcMar>
              <w:top w:type="dxa" w:w="60"/>
              <w:left w:type="dxa" w:w="120"/>
              <w:bottom w:type="dxa" w:w="30"/>
              <w:right w:type="dxa" w:w="120"/>
            </w:tcMar>
          </w:tcPr>
          <w:p>
            <w:pPr>
              <w:spacing w:before="120" w:after="120" w:line="288" w:lineRule="auto"/>
              <w:ind w:left="0"/>
              <w:jc w:val="left"/>
            </w:pPr>
          </w:p>
        </w:tc>
      </w:tr>
      <w:tr>
        <w:tc>
          <w:tcPr>
            <w:tcW w:w="4845" w:type="dxa"/>
            <w:tcMar>
              <w:top w:type="dxa" w:w="60"/>
              <w:left w:type="dxa" w:w="120"/>
              <w:bottom w:type="dxa" w:w="30"/>
              <w:right w:type="dxa" w:w="120"/>
            </w:tcMar>
          </w:tcPr>
          <w:p>
            <w:pPr>
              <w:spacing w:before="120" w:after="120" w:line="288" w:lineRule="auto"/>
              <w:ind w:left="0"/>
              <w:jc w:val="right"/>
            </w:pPr>
            <w:r>
              <w:rPr>
                <w:rFonts w:eastAsia="等线" w:ascii="Arial" w:cs="Arial" w:hAnsi="Arial"/>
                <w:b w:val="true"/>
                <w:sz w:val="22"/>
              </w:rPr>
              <w:t>Grand Total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48,000</w:t>
            </w:r>
          </w:p>
        </w:tc>
      </w:tr>
    </w:tbl>
    <w:p>
      <w:pPr>
        <w:spacing w:before="120" w:after="120" w:line="288" w:lineRule="auto"/>
        <w:ind w:left="0"/>
        <w:jc w:val="left"/>
      </w:pPr>
      <w:r>
        <w:rPr>
          <w:rFonts w:eastAsia="等线" w:ascii="Arial" w:cs="Arial" w:hAnsi="Arial"/>
          <w:i w:val="true"/>
          <w:sz w:val="22"/>
        </w:rPr>
        <w:t xml:space="preserve">*Subject to AWS subsidisation. If that doesn't happen, Mindhive will provide all the </w:t>
      </w:r>
      <w:r>
        <w:rPr>
          <w:rFonts w:eastAsia="等线" w:ascii="Arial" w:cs="Arial" w:hAnsi="Arial"/>
          <w:b w:val="true"/>
          <w:i w:val="true"/>
          <w:sz w:val="22"/>
        </w:rPr>
        <w:t>customizations (item 2)</w:t>
      </w:r>
      <w:r>
        <w:rPr>
          <w:rFonts w:eastAsia="等线" w:ascii="Arial" w:cs="Arial" w:hAnsi="Arial"/>
          <w:i w:val="true"/>
          <w:sz w:val="22"/>
        </w:rPr>
        <w:t xml:space="preserve"> above the RM48,000 base for free.</w:t>
      </w:r>
    </w:p>
    <w:p>
      <w:pPr>
        <w:pStyle w:val="2"/>
        <w:spacing w:before="320" w:after="120" w:line="288" w:lineRule="auto"/>
        <w:ind w:left="0"/>
        <w:jc w:val="left"/>
        <w:outlineLvl w:val="1"/>
      </w:pPr>
      <w:bookmarkStart w:name="heading_37" w:id="37"/>
      <w:r>
        <w:rPr>
          <w:rFonts w:eastAsia="等线" w:ascii="Arial" w:cs="Arial" w:hAnsi="Arial"/>
          <w:color w:val="3370ff"/>
          <w:sz w:val="32"/>
        </w:rPr>
        <w:t xml:space="preserve">5.2 </w:t>
      </w:r>
      <w:r>
        <w:rPr>
          <w:rFonts w:eastAsia="等线" w:ascii="Arial" w:cs="Arial" w:hAnsi="Arial"/>
          <w:b w:val="true"/>
          <w:sz w:val="32"/>
        </w:rPr>
        <w:t>Payment Terms</w:t>
      </w:r>
      <w:bookmarkEnd w:id="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885"/>
        <w:gridCol w:w="1500"/>
        <w:gridCol w:w="2445"/>
      </w:tblGrid>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Milestone</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Percentage</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Price</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 1 - Phase One Initiation</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r>
        <w:tc>
          <w:tcPr>
            <w:tcW w:w="3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Milestone 2 - UAT Sign Off</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4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RM 24,000</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8" w:id="38"/>
      <w:r>
        <w:rPr>
          <w:rFonts w:eastAsia="等线" w:ascii="Arial" w:cs="Arial" w:hAnsi="Arial"/>
          <w:color w:val="3370ff"/>
          <w:sz w:val="36"/>
        </w:rPr>
        <w:t xml:space="preserve">6. </w:t>
      </w:r>
      <w:r>
        <w:rPr>
          <w:rFonts w:eastAsia="等线" w:ascii="Arial" w:cs="Arial" w:hAnsi="Arial"/>
          <w:b w:val="true"/>
          <w:sz w:val="36"/>
        </w:rPr>
        <w:t>Caveats &amp; Exclusions</w:t>
      </w:r>
      <w:bookmarkEnd w:id="38"/>
    </w:p>
    <w:p>
      <w:pPr>
        <w:numPr>
          <w:numId w:val="103"/>
        </w:numPr>
        <w:spacing w:before="120" w:after="120" w:line="288" w:lineRule="auto"/>
        <w:ind w:left="0"/>
        <w:jc w:val="left"/>
      </w:pPr>
      <w:r>
        <w:rPr>
          <w:rFonts w:eastAsia="等线" w:ascii="Arial" w:cs="Arial" w:hAnsi="Arial"/>
          <w:b w:val="true"/>
          <w:sz w:val="22"/>
        </w:rPr>
        <w:t>Third-Party Dependencies</w:t>
      </w:r>
      <w:r>
        <w:rPr>
          <w:rFonts w:eastAsia="等线" w:ascii="Arial" w:cs="Arial" w:hAnsi="Arial"/>
          <w:sz w:val="22"/>
        </w:rPr>
        <w:t>: Mindhive is not liable for downtime/issues on external platforms (Google Sheet, etc.)</w:t>
      </w:r>
    </w:p>
    <w:p>
      <w:pPr>
        <w:numPr>
          <w:numId w:val="104"/>
        </w:numPr>
        <w:spacing w:before="120" w:after="120" w:line="288" w:lineRule="auto"/>
        <w:ind w:left="0"/>
        <w:jc w:val="left"/>
      </w:pPr>
      <w:r>
        <w:rPr>
          <w:rFonts w:eastAsia="等线" w:ascii="Arial" w:cs="Arial" w:hAnsi="Arial"/>
          <w:b w:val="true"/>
          <w:sz w:val="22"/>
        </w:rPr>
        <w:t>Connectivity</w:t>
      </w:r>
      <w:r>
        <w:rPr>
          <w:rFonts w:eastAsia="等线" w:ascii="Arial" w:cs="Arial" w:hAnsi="Arial"/>
          <w:sz w:val="22"/>
        </w:rPr>
        <w:t>: Client responsible for internet and device readiness</w:t>
      </w:r>
    </w:p>
    <w:p>
      <w:pPr>
        <w:numPr>
          <w:numId w:val="105"/>
        </w:numPr>
        <w:spacing w:before="120" w:after="120" w:line="288" w:lineRule="auto"/>
        <w:ind w:left="0"/>
        <w:jc w:val="left"/>
      </w:pPr>
      <w:r>
        <w:rPr>
          <w:rFonts w:eastAsia="等线" w:ascii="Arial" w:cs="Arial" w:hAnsi="Arial"/>
          <w:b w:val="true"/>
          <w:sz w:val="22"/>
        </w:rPr>
        <w:t>Client-side Integrations</w:t>
      </w:r>
      <w:r>
        <w:rPr>
          <w:rFonts w:eastAsia="等线" w:ascii="Arial" w:cs="Arial" w:hAnsi="Arial"/>
          <w:sz w:val="22"/>
        </w:rPr>
        <w:t>: Any unsupported third-party integrations outside approved scope</w:t>
      </w:r>
    </w:p>
    <w:p>
      <w:pPr>
        <w:numPr>
          <w:numId w:val="106"/>
        </w:numPr>
        <w:spacing w:before="120" w:after="120" w:line="288" w:lineRule="auto"/>
        <w:ind w:left="0"/>
        <w:jc w:val="left"/>
      </w:pPr>
      <w:r>
        <w:rPr>
          <w:rFonts w:eastAsia="等线" w:ascii="Arial" w:cs="Arial" w:hAnsi="Arial"/>
          <w:b w:val="true"/>
          <w:sz w:val="22"/>
        </w:rPr>
        <w:t>Data Accuracy</w:t>
      </w:r>
      <w:r>
        <w:rPr>
          <w:rFonts w:eastAsia="等线" w:ascii="Arial" w:cs="Arial" w:hAnsi="Arial"/>
          <w:sz w:val="22"/>
        </w:rPr>
        <w:t>: Responsibility lies with Client for correctness of provided data</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39" w:id="39"/>
      <w:r>
        <w:rPr>
          <w:rFonts w:eastAsia="等线" w:ascii="Arial" w:cs="Arial" w:hAnsi="Arial"/>
          <w:color w:val="3370ff"/>
          <w:sz w:val="36"/>
        </w:rPr>
        <w:t xml:space="preserve">7. </w:t>
      </w:r>
      <w:r>
        <w:rPr>
          <w:rFonts w:eastAsia="等线" w:ascii="Arial" w:cs="Arial" w:hAnsi="Arial"/>
          <w:b w:val="true"/>
          <w:sz w:val="36"/>
        </w:rPr>
        <w:t>Service Level Agreements (SLAs)</w:t>
      </w:r>
      <w:bookmarkEnd w:id="39"/>
    </w:p>
    <w:p>
      <w:pPr>
        <w:pStyle w:val="2"/>
        <w:spacing w:before="320" w:after="120" w:line="288" w:lineRule="auto"/>
        <w:ind w:left="0"/>
        <w:jc w:val="left"/>
        <w:outlineLvl w:val="1"/>
      </w:pPr>
      <w:bookmarkStart w:name="heading_40" w:id="40"/>
      <w:r>
        <w:rPr>
          <w:rFonts w:eastAsia="等线" w:ascii="Arial" w:cs="Arial" w:hAnsi="Arial"/>
          <w:color w:val="3370ff"/>
          <w:sz w:val="32"/>
        </w:rPr>
        <w:t xml:space="preserve">7.1 </w:t>
      </w:r>
      <w:r>
        <w:rPr>
          <w:rFonts w:eastAsia="等线" w:ascii="Arial" w:cs="Arial" w:hAnsi="Arial"/>
          <w:b w:val="true"/>
          <w:sz w:val="32"/>
        </w:rPr>
        <w:t>Mindhive Commitments</w:t>
      </w:r>
      <w:bookmarkEnd w:id="40"/>
    </w:p>
    <w:p>
      <w:pPr>
        <w:spacing w:before="120" w:after="120" w:line="288" w:lineRule="auto"/>
        <w:ind w:left="0"/>
        <w:jc w:val="left"/>
      </w:pPr>
      <w:r>
        <w:rPr>
          <w:rFonts w:eastAsia="等线" w:ascii="Arial" w:cs="Arial" w:hAnsi="Arial"/>
          <w:b w:val="true"/>
          <w:sz w:val="22"/>
        </w:rPr>
        <w:t>System Availability:</w:t>
      </w:r>
      <w:r>
        <w:rPr>
          <w:rFonts w:eastAsia="等线" w:ascii="Arial" w:cs="Arial" w:hAnsi="Arial"/>
          <w:sz w:val="22"/>
        </w:rPr>
        <w:t xml:space="preserve"> 99.5% uptime (excluding scheduled maintenance).</w:t>
      </w:r>
    </w:p>
    <w:p>
      <w:pPr>
        <w:spacing w:before="120" w:after="120" w:line="288" w:lineRule="auto"/>
        <w:ind w:left="0"/>
        <w:jc w:val="left"/>
      </w:pPr>
      <w:r>
        <w:rPr>
          <w:rFonts w:eastAsia="等线" w:ascii="Arial" w:cs="Arial" w:hAnsi="Arial"/>
          <w:b w:val="true"/>
          <w:sz w:val="22"/>
        </w:rPr>
        <w:t>Support Response Times:</w:t>
      </w:r>
    </w:p>
    <w:p>
      <w:pPr>
        <w:numPr>
          <w:numId w:val="107"/>
        </w:numPr>
        <w:spacing w:before="120" w:after="120" w:line="288" w:lineRule="auto"/>
        <w:ind w:left="0"/>
        <w:jc w:val="left"/>
      </w:pPr>
      <w:r>
        <w:rPr>
          <w:rFonts w:eastAsia="等线" w:ascii="Arial" w:cs="Arial" w:hAnsi="Arial"/>
          <w:b w:val="true"/>
          <w:sz w:val="22"/>
        </w:rPr>
        <w:t>Critical (P1):</w:t>
      </w:r>
      <w:r>
        <w:rPr>
          <w:rFonts w:eastAsia="等线" w:ascii="Arial" w:cs="Arial" w:hAnsi="Arial"/>
          <w:sz w:val="22"/>
        </w:rPr>
        <w:t xml:space="preserve"> Within 2 hours</w:t>
      </w:r>
    </w:p>
    <w:p>
      <w:pPr>
        <w:numPr>
          <w:numId w:val="108"/>
        </w:numPr>
        <w:spacing w:before="120" w:after="120" w:line="288" w:lineRule="auto"/>
        <w:ind w:left="0"/>
        <w:jc w:val="left"/>
      </w:pPr>
      <w:r>
        <w:rPr>
          <w:rFonts w:eastAsia="等线" w:ascii="Arial" w:cs="Arial" w:hAnsi="Arial"/>
          <w:b w:val="true"/>
          <w:sz w:val="22"/>
        </w:rPr>
        <w:t>High (P2):</w:t>
      </w:r>
      <w:r>
        <w:rPr>
          <w:rFonts w:eastAsia="等线" w:ascii="Arial" w:cs="Arial" w:hAnsi="Arial"/>
          <w:sz w:val="22"/>
        </w:rPr>
        <w:t xml:space="preserve"> Within 8 hours</w:t>
      </w:r>
    </w:p>
    <w:p>
      <w:pPr>
        <w:numPr>
          <w:numId w:val="109"/>
        </w:numPr>
        <w:spacing w:before="120" w:after="120" w:line="288" w:lineRule="auto"/>
        <w:ind w:left="0"/>
        <w:jc w:val="left"/>
      </w:pPr>
      <w:r>
        <w:rPr>
          <w:rFonts w:eastAsia="等线" w:ascii="Arial" w:cs="Arial" w:hAnsi="Arial"/>
          <w:b w:val="true"/>
          <w:sz w:val="22"/>
        </w:rPr>
        <w:t>Normal (P3):</w:t>
      </w:r>
      <w:r>
        <w:rPr>
          <w:rFonts w:eastAsia="等线" w:ascii="Arial" w:cs="Arial" w:hAnsi="Arial"/>
          <w:sz w:val="22"/>
        </w:rPr>
        <w:t xml:space="preserve"> Within 2 business days</w:t>
      </w:r>
    </w:p>
    <w:p>
      <w:pPr>
        <w:spacing w:before="120" w:after="120" w:line="288" w:lineRule="auto"/>
        <w:ind w:left="0"/>
        <w:jc w:val="left"/>
      </w:pPr>
      <w:r>
        <w:rPr>
          <w:rFonts w:eastAsia="等线" w:ascii="Arial" w:cs="Arial" w:hAnsi="Arial"/>
          <w:b w:val="true"/>
          <w:sz w:val="22"/>
        </w:rPr>
        <w:t>Maintenance Windows:</w:t>
      </w:r>
      <w:r>
        <w:rPr>
          <w:rFonts w:eastAsia="等线" w:ascii="Arial" w:cs="Arial" w:hAnsi="Arial"/>
          <w:sz w:val="22"/>
        </w:rPr>
        <w:t xml:space="preserve"> Pre-communicated, typically scheduled during weekends or off-peak hours.</w:t>
      </w:r>
    </w:p>
    <w:p>
      <w:pPr>
        <w:spacing w:before="120" w:after="120" w:line="288" w:lineRule="auto"/>
        <w:ind w:left="0"/>
        <w:jc w:val="left"/>
      </w:pPr>
      <w:r>
        <w:rPr>
          <w:rFonts w:eastAsia="等线" w:ascii="Arial" w:cs="Arial" w:hAnsi="Arial"/>
          <w:b w:val="true"/>
          <w:sz w:val="22"/>
        </w:rPr>
        <w:t>Data Protection:</w:t>
      </w:r>
      <w:r>
        <w:rPr>
          <w:rFonts w:eastAsia="等线" w:ascii="Arial" w:cs="Arial" w:hAnsi="Arial"/>
          <w:sz w:val="22"/>
        </w:rPr>
        <w:t xml:space="preserve"> Regular backups and defined disaster recovery commitments to safeguard client data.</w:t>
      </w:r>
    </w:p>
    <w:p>
      <w:pPr>
        <w:spacing w:before="120" w:after="120" w:line="288" w:lineRule="auto"/>
        <w:ind w:left="0"/>
        <w:jc w:val="left"/>
      </w:pPr>
      <w:r>
        <w:rPr>
          <w:rFonts w:eastAsia="等线" w:ascii="Arial" w:cs="Arial" w:hAnsi="Arial"/>
          <w:b w:val="true"/>
          <w:sz w:val="22"/>
        </w:rPr>
        <w:t>Lifetime Upgrades &amp; Support:</w:t>
      </w:r>
      <w:r>
        <w:rPr>
          <w:rFonts w:eastAsia="等线" w:ascii="Arial" w:cs="Arial" w:hAnsi="Arial"/>
          <w:sz w:val="22"/>
        </w:rPr>
        <w:t xml:space="preserve"> Clients will continue to receive ongoing product upgrades, security enhancements, and support for the lifetime of their subscription, ensuring the platform remains current, secure, and aligned with evolving business needs.</w:t>
      </w:r>
    </w:p>
    <w:p>
      <w:pPr>
        <w:pStyle w:val="2"/>
        <w:spacing w:before="320" w:after="120" w:line="288" w:lineRule="auto"/>
        <w:ind w:left="0"/>
        <w:jc w:val="left"/>
        <w:outlineLvl w:val="1"/>
      </w:pPr>
      <w:bookmarkStart w:name="heading_41" w:id="41"/>
      <w:r>
        <w:rPr>
          <w:rFonts w:eastAsia="等线" w:ascii="Arial" w:cs="Arial" w:hAnsi="Arial"/>
          <w:color w:val="3370ff"/>
          <w:sz w:val="32"/>
        </w:rPr>
        <w:t xml:space="preserve">7.2 </w:t>
      </w:r>
      <w:r>
        <w:rPr>
          <w:rFonts w:eastAsia="等线" w:ascii="Arial" w:cs="Arial" w:hAnsi="Arial"/>
          <w:b w:val="true"/>
          <w:sz w:val="32"/>
        </w:rPr>
        <w:t>Client Commitments</w:t>
      </w:r>
      <w:bookmarkEnd w:id="41"/>
    </w:p>
    <w:p>
      <w:pPr>
        <w:spacing w:before="120" w:after="120" w:line="288" w:lineRule="auto"/>
        <w:ind w:left="0"/>
        <w:jc w:val="left"/>
      </w:pPr>
      <w:r>
        <w:rPr>
          <w:rFonts w:eastAsia="等线" w:ascii="Arial" w:cs="Arial" w:hAnsi="Arial"/>
          <w:b w:val="true"/>
          <w:sz w:val="22"/>
        </w:rPr>
        <w:t>User Access &amp; Permissions:</w:t>
      </w:r>
      <w:r>
        <w:rPr>
          <w:rFonts w:eastAsia="等线" w:ascii="Arial" w:cs="Arial" w:hAnsi="Arial"/>
          <w:sz w:val="22"/>
        </w:rPr>
        <w:t xml:space="preserve"> Client to designate system administrators and enforce internal user policies.</w:t>
      </w:r>
    </w:p>
    <w:p>
      <w:pPr>
        <w:spacing w:before="120" w:after="120" w:line="288" w:lineRule="auto"/>
        <w:ind w:left="0"/>
        <w:jc w:val="left"/>
      </w:pPr>
      <w:r>
        <w:rPr>
          <w:rFonts w:eastAsia="等线" w:ascii="Arial" w:cs="Arial" w:hAnsi="Arial"/>
          <w:b w:val="true"/>
          <w:sz w:val="22"/>
        </w:rPr>
        <w:t>Data Provisioning:</w:t>
      </w:r>
      <w:r>
        <w:rPr>
          <w:rFonts w:eastAsia="等线" w:ascii="Arial" w:cs="Arial" w:hAnsi="Arial"/>
          <w:sz w:val="22"/>
        </w:rPr>
        <w:t xml:space="preserve"> Provide accurate, complete, and timely data uploads to enable smooth onboarding and continued operations.</w:t>
      </w:r>
    </w:p>
    <w:p>
      <w:pPr>
        <w:spacing w:before="120" w:after="120" w:line="288" w:lineRule="auto"/>
        <w:ind w:left="0"/>
        <w:jc w:val="left"/>
      </w:pPr>
      <w:r>
        <w:rPr>
          <w:rFonts w:eastAsia="等线" w:ascii="Arial" w:cs="Arial" w:hAnsi="Arial"/>
          <w:b w:val="true"/>
          <w:sz w:val="22"/>
        </w:rPr>
        <w:t>Timely Feedback:</w:t>
      </w:r>
      <w:r>
        <w:rPr>
          <w:rFonts w:eastAsia="等线" w:ascii="Arial" w:cs="Arial" w:hAnsi="Arial"/>
          <w:sz w:val="22"/>
        </w:rPr>
        <w:t xml:space="preserve"> Provide approvals, clarifications, and input during customization and implementation phases to avoid project delays.</w:t>
      </w:r>
    </w:p>
    <w:p>
      <w:pPr>
        <w:spacing w:before="120" w:after="120" w:line="288" w:lineRule="auto"/>
        <w:ind w:left="0"/>
        <w:jc w:val="left"/>
      </w:pPr>
      <w:r>
        <w:rPr>
          <w:rFonts w:eastAsia="等线" w:ascii="Arial" w:cs="Arial" w:hAnsi="Arial"/>
          <w:b w:val="true"/>
          <w:sz w:val="22"/>
        </w:rPr>
        <w:t>Compliance:</w:t>
      </w:r>
      <w:r>
        <w:rPr>
          <w:rFonts w:eastAsia="等线" w:ascii="Arial" w:cs="Arial" w:hAnsi="Arial"/>
          <w:sz w:val="22"/>
        </w:rPr>
        <w:t xml:space="preserve"> Adhere to licensing terms, security practices, and applicable regulations.</w:t>
      </w:r>
    </w:p>
    <w:p>
      <w:pPr>
        <w:spacing w:before="120" w:after="120" w:line="288" w:lineRule="auto"/>
        <w:ind w:left="0"/>
        <w:jc w:val="left"/>
      </w:pPr>
      <w:r>
        <w:rPr>
          <w:rFonts w:eastAsia="等线" w:ascii="Arial" w:cs="Arial" w:hAnsi="Arial"/>
          <w:b w:val="true"/>
          <w:sz w:val="22"/>
        </w:rPr>
        <w:t>Point of Contact:</w:t>
      </w:r>
      <w:r>
        <w:rPr>
          <w:rFonts w:eastAsia="等线" w:ascii="Arial" w:cs="Arial" w:hAnsi="Arial"/>
          <w:sz w:val="22"/>
        </w:rPr>
        <w:t xml:space="preserve"> Designate a primary point of contact (POC) for Mindhive communications. The client commits to responding to vendor queries, requests, or approvals within </w:t>
      </w:r>
      <w:r>
        <w:rPr>
          <w:rFonts w:eastAsia="等线" w:ascii="Arial" w:cs="Arial" w:hAnsi="Arial"/>
          <w:b w:val="true"/>
          <w:sz w:val="22"/>
        </w:rPr>
        <w:t>2–3 working days</w:t>
      </w: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Payments:</w:t>
      </w:r>
      <w:r>
        <w:rPr>
          <w:rFonts w:eastAsia="等线" w:ascii="Arial" w:cs="Arial" w:hAnsi="Arial"/>
          <w:sz w:val="22"/>
        </w:rPr>
        <w:t xml:space="preserve"> Ensure timely settlement of subscription fees, invoices, and any approved change request costs as per the agreed commercial terms.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2" w:id="42"/>
      <w:r>
        <w:rPr>
          <w:rFonts w:eastAsia="等线" w:ascii="Arial" w:cs="Arial" w:hAnsi="Arial"/>
          <w:color w:val="3370ff"/>
          <w:sz w:val="36"/>
        </w:rPr>
        <w:t xml:space="preserve">8. </w:t>
      </w:r>
      <w:r>
        <w:rPr>
          <w:rFonts w:eastAsia="等线" w:ascii="Arial" w:cs="Arial" w:hAnsi="Arial"/>
          <w:b w:val="true"/>
          <w:sz w:val="36"/>
        </w:rPr>
        <w:t>Appendix</w:t>
      </w:r>
      <w:bookmarkEnd w:id="42"/>
    </w:p>
    <w:p>
      <w:pPr>
        <w:pStyle w:val="2"/>
        <w:spacing w:before="320" w:after="120" w:line="288" w:lineRule="auto"/>
        <w:ind w:left="0"/>
        <w:jc w:val="left"/>
        <w:outlineLvl w:val="1"/>
      </w:pPr>
      <w:bookmarkStart w:name="heading_43" w:id="43"/>
      <w:r>
        <w:rPr>
          <w:rFonts w:eastAsia="等线" w:ascii="Arial" w:cs="Arial" w:hAnsi="Arial"/>
          <w:color w:val="3370ff"/>
          <w:sz w:val="32"/>
        </w:rPr>
        <w:t xml:space="preserve">8.1 </w:t>
      </w:r>
      <w:r>
        <w:rPr>
          <w:rFonts w:eastAsia="等线" w:ascii="Arial" w:cs="Arial" w:hAnsi="Arial"/>
          <w:b w:val="true"/>
          <w:sz w:val="32"/>
        </w:rPr>
        <w:t>Delivery Model</w:t>
      </w:r>
      <w:bookmarkEnd w:id="43"/>
    </w:p>
    <w:p>
      <w:pPr>
        <w:spacing w:before="120" w:after="120" w:line="288" w:lineRule="auto"/>
        <w:ind w:left="0"/>
        <w:jc w:val="left"/>
      </w:pPr>
      <w:r>
        <w:rPr>
          <w:rFonts w:eastAsia="等线" w:ascii="Arial" w:cs="Arial" w:hAnsi="Arial"/>
          <w:b w:val="true"/>
          <w:sz w:val="22"/>
        </w:rPr>
        <w:t>Cloud-Hosted Platform:</w:t>
      </w:r>
      <w:r>
        <w:rPr>
          <w:rFonts w:eastAsia="等线" w:ascii="Arial" w:cs="Arial" w:hAnsi="Arial"/>
          <w:sz w:val="22"/>
        </w:rPr>
        <w:t xml:space="preserve"> MAIA is delivered securely from the cloud, ensuring continuous availability and ease of access without the need for local installations.</w:t>
      </w:r>
    </w:p>
    <w:p>
      <w:pPr>
        <w:spacing w:before="120" w:after="120" w:line="288" w:lineRule="auto"/>
        <w:ind w:left="0"/>
        <w:jc w:val="left"/>
      </w:pPr>
      <w:r>
        <w:rPr>
          <w:rFonts w:eastAsia="等线" w:ascii="Arial" w:cs="Arial" w:hAnsi="Arial"/>
          <w:b w:val="true"/>
          <w:sz w:val="22"/>
        </w:rPr>
        <w:t>Flexible Tiers:</w:t>
      </w:r>
    </w:p>
    <w:p>
      <w:pPr>
        <w:numPr>
          <w:numId w:val="110"/>
        </w:numPr>
        <w:spacing w:before="120" w:after="120" w:line="288" w:lineRule="auto"/>
        <w:ind w:left="0"/>
        <w:jc w:val="left"/>
      </w:pPr>
      <w:r>
        <w:rPr>
          <w:rFonts w:eastAsia="等线" w:ascii="Arial" w:cs="Arial" w:hAnsi="Arial"/>
          <w:b w:val="true"/>
          <w:sz w:val="22"/>
        </w:rPr>
        <w:t>Freemium:</w:t>
      </w:r>
      <w:r>
        <w:rPr>
          <w:rFonts w:eastAsia="等线" w:ascii="Arial" w:cs="Arial" w:hAnsi="Arial"/>
          <w:sz w:val="22"/>
        </w:rPr>
        <w:t xml:space="preserve"> Entry-level access with shared hosting and essential features.</w:t>
      </w:r>
    </w:p>
    <w:p>
      <w:pPr>
        <w:numPr>
          <w:numId w:val="111"/>
        </w:numPr>
        <w:spacing w:before="120" w:after="120" w:line="288" w:lineRule="auto"/>
        <w:ind w:left="0"/>
        <w:jc w:val="left"/>
      </w:pPr>
      <w:r>
        <w:rPr>
          <w:rFonts w:eastAsia="等线" w:ascii="Arial" w:cs="Arial" w:hAnsi="Arial"/>
          <w:b w:val="true"/>
          <w:sz w:val="22"/>
        </w:rPr>
        <w:t>Pro:</w:t>
      </w:r>
      <w:r>
        <w:rPr>
          <w:rFonts w:eastAsia="等线" w:ascii="Arial" w:cs="Arial" w:hAnsi="Arial"/>
          <w:sz w:val="22"/>
        </w:rPr>
        <w:t xml:space="preserve"> Dedicated environment per company with advanced features.</w:t>
      </w:r>
    </w:p>
    <w:p>
      <w:pPr>
        <w:numPr>
          <w:numId w:val="112"/>
        </w:numPr>
        <w:spacing w:before="120" w:after="120" w:line="288" w:lineRule="auto"/>
        <w:ind w:left="0"/>
        <w:jc w:val="left"/>
      </w:pPr>
      <w:r>
        <w:rPr>
          <w:rFonts w:eastAsia="等线" w:ascii="Arial" w:cs="Arial" w:hAnsi="Arial"/>
          <w:b w:val="true"/>
          <w:sz w:val="22"/>
        </w:rPr>
        <w:t>Enterprise:</w:t>
      </w:r>
      <w:r>
        <w:rPr>
          <w:rFonts w:eastAsia="等线" w:ascii="Arial" w:cs="Arial" w:hAnsi="Arial"/>
          <w:sz w:val="22"/>
        </w:rPr>
        <w:t xml:space="preserve"> Fully isolated environment with dedicated infrastructure, compliance support, and custom options.</w:t>
      </w:r>
    </w:p>
    <w:p>
      <w:pPr>
        <w:spacing w:before="120" w:after="120" w:line="288" w:lineRule="auto"/>
        <w:ind w:left="0"/>
        <w:jc w:val="left"/>
      </w:pPr>
      <w:r>
        <w:rPr>
          <w:rFonts w:eastAsia="等线" w:ascii="Arial" w:cs="Arial" w:hAnsi="Arial"/>
          <w:b w:val="true"/>
          <w:sz w:val="22"/>
        </w:rPr>
        <w:t>Deployment Regions:</w:t>
      </w:r>
      <w:r>
        <w:rPr>
          <w:rFonts w:eastAsia="等线" w:ascii="Arial" w:cs="Arial" w:hAnsi="Arial"/>
          <w:sz w:val="22"/>
        </w:rPr>
        <w:t xml:space="preserve"> Data hosting can be tailored to regional compliance or performance requirements (e.g., APAC, EU, US).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4" w:id="44"/>
      <w:r>
        <w:rPr>
          <w:rFonts w:eastAsia="等线" w:ascii="Arial" w:cs="Arial" w:hAnsi="Arial"/>
          <w:color w:val="3370ff"/>
          <w:sz w:val="32"/>
        </w:rPr>
        <w:t xml:space="preserve">8.2 </w:t>
      </w:r>
      <w:r>
        <w:rPr>
          <w:rFonts w:eastAsia="等线" w:ascii="Arial" w:cs="Arial" w:hAnsi="Arial"/>
          <w:b w:val="true"/>
          <w:sz w:val="32"/>
        </w:rPr>
        <w:t>System Interfaces</w:t>
      </w:r>
      <w:bookmarkEnd w:id="44"/>
    </w:p>
    <w:p>
      <w:pPr>
        <w:spacing w:before="120" w:after="120" w:line="288" w:lineRule="auto"/>
        <w:ind w:left="0"/>
        <w:jc w:val="left"/>
      </w:pPr>
      <w:r>
        <w:rPr>
          <w:rFonts w:eastAsia="等线" w:ascii="Arial" w:cs="Arial" w:hAnsi="Arial"/>
          <w:b w:val="true"/>
          <w:sz w:val="22"/>
        </w:rPr>
        <w:t>Web Application:</w:t>
      </w:r>
    </w:p>
    <w:p>
      <w:pPr>
        <w:numPr>
          <w:numId w:val="113"/>
        </w:numPr>
        <w:spacing w:before="120" w:after="120" w:line="288" w:lineRule="auto"/>
        <w:ind w:left="0"/>
        <w:jc w:val="left"/>
      </w:pPr>
      <w:r>
        <w:rPr>
          <w:rFonts w:eastAsia="等线" w:ascii="Arial" w:cs="Arial" w:hAnsi="Arial"/>
          <w:sz w:val="22"/>
        </w:rPr>
        <w:t>Accessible via all modern browsers.</w:t>
      </w:r>
    </w:p>
    <w:p>
      <w:pPr>
        <w:numPr>
          <w:numId w:val="114"/>
        </w:numPr>
        <w:spacing w:before="120" w:after="120" w:line="288" w:lineRule="auto"/>
        <w:ind w:left="0"/>
        <w:jc w:val="left"/>
      </w:pPr>
      <w:r>
        <w:rPr>
          <w:rFonts w:eastAsia="等线" w:ascii="Arial" w:cs="Arial" w:hAnsi="Arial"/>
          <w:sz w:val="22"/>
        </w:rPr>
        <w:t>Provides intuitive dashboards and role-based views for managers, finance teams, operations, and administrators.</w:t>
      </w:r>
    </w:p>
    <w:p>
      <w:pPr>
        <w:numPr>
          <w:numId w:val="115"/>
        </w:numPr>
        <w:spacing w:before="120" w:after="120" w:line="288" w:lineRule="auto"/>
        <w:ind w:left="0"/>
        <w:jc w:val="left"/>
      </w:pPr>
      <w:r>
        <w:rPr>
          <w:rFonts w:eastAsia="等线" w:ascii="Arial" w:cs="Arial" w:hAnsi="Arial"/>
          <w:sz w:val="22"/>
        </w:rPr>
        <w:t>Real-time updates for transactions, approvals, and customer interactions.</w:t>
      </w:r>
    </w:p>
    <w:p>
      <w:pPr>
        <w:spacing w:before="120" w:after="120" w:line="288" w:lineRule="auto"/>
        <w:ind w:left="0"/>
        <w:jc w:val="left"/>
      </w:pPr>
      <w:r>
        <w:rPr>
          <w:rFonts w:eastAsia="等线" w:ascii="Arial" w:cs="Arial" w:hAnsi="Arial"/>
          <w:b w:val="true"/>
          <w:sz w:val="22"/>
        </w:rPr>
        <w:t>Mobile-Responsive Access:</w:t>
      </w:r>
    </w:p>
    <w:p>
      <w:pPr>
        <w:numPr>
          <w:numId w:val="116"/>
        </w:numPr>
        <w:spacing w:before="120" w:after="120" w:line="288" w:lineRule="auto"/>
        <w:ind w:left="0"/>
        <w:jc w:val="left"/>
      </w:pPr>
      <w:r>
        <w:rPr>
          <w:rFonts w:eastAsia="等线" w:ascii="Arial" w:cs="Arial" w:hAnsi="Arial"/>
          <w:sz w:val="22"/>
        </w:rPr>
        <w:t>Optimized for smartphones and tablets.</w:t>
      </w:r>
    </w:p>
    <w:p>
      <w:pPr>
        <w:numPr>
          <w:numId w:val="117"/>
        </w:numPr>
        <w:spacing w:before="120" w:after="120" w:line="288" w:lineRule="auto"/>
        <w:ind w:left="0"/>
        <w:jc w:val="left"/>
      </w:pPr>
      <w:r>
        <w:rPr>
          <w:rFonts w:eastAsia="等线" w:ascii="Arial" w:cs="Arial" w:hAnsi="Arial"/>
          <w:sz w:val="22"/>
        </w:rPr>
        <w:t>Designed for sales teams, delivery agents, and field users to perform tasks such as order management, approvals, and proof-of-delivery on the go.</w:t>
      </w:r>
    </w:p>
    <w:p>
      <w:pPr>
        <w:spacing w:before="120" w:after="120" w:line="288" w:lineRule="auto"/>
        <w:ind w:left="0"/>
        <w:jc w:val="left"/>
      </w:pPr>
      <w:r>
        <w:rPr>
          <w:rFonts w:eastAsia="等线" w:ascii="Arial" w:cs="Arial" w:hAnsi="Arial"/>
          <w:b w:val="true"/>
          <w:sz w:val="22"/>
        </w:rPr>
        <w:t>Specialized Workspaces:</w:t>
      </w:r>
    </w:p>
    <w:p>
      <w:pPr>
        <w:numPr>
          <w:numId w:val="118"/>
        </w:numPr>
        <w:spacing w:before="120" w:after="120" w:line="288" w:lineRule="auto"/>
        <w:ind w:left="0"/>
        <w:jc w:val="left"/>
      </w:pPr>
      <w:r>
        <w:rPr>
          <w:rFonts w:eastAsia="等线" w:ascii="Arial" w:cs="Arial" w:hAnsi="Arial"/>
          <w:b w:val="true"/>
          <w:sz w:val="22"/>
        </w:rPr>
        <w:t>Sales Workspace:</w:t>
      </w:r>
      <w:r>
        <w:rPr>
          <w:rFonts w:eastAsia="等线" w:ascii="Arial" w:cs="Arial" w:hAnsi="Arial"/>
          <w:sz w:val="22"/>
        </w:rPr>
        <w:t xml:space="preserve"> Tailored for sales agents to manage quotations, orders, and customer interactions.</w:t>
      </w:r>
    </w:p>
    <w:p>
      <w:pPr>
        <w:numPr>
          <w:numId w:val="119"/>
        </w:numPr>
        <w:spacing w:before="120" w:after="120" w:line="288" w:lineRule="auto"/>
        <w:ind w:left="0"/>
        <w:jc w:val="left"/>
      </w:pPr>
      <w:r>
        <w:rPr>
          <w:rFonts w:eastAsia="等线" w:ascii="Arial" w:cs="Arial" w:hAnsi="Arial"/>
          <w:b w:val="true"/>
          <w:sz w:val="22"/>
        </w:rPr>
        <w:t>Operations &amp; Delivery Workspace:</w:t>
      </w:r>
      <w:r>
        <w:rPr>
          <w:rFonts w:eastAsia="等线" w:ascii="Arial" w:cs="Arial" w:hAnsi="Arial"/>
          <w:sz w:val="22"/>
        </w:rPr>
        <w:t xml:space="preserve"> Enables drivers and logistics staff to update statuses and capture proof of delivery or payment.</w:t>
      </w:r>
    </w:p>
    <w:p>
      <w:pPr>
        <w:numPr>
          <w:numId w:val="120"/>
        </w:numPr>
        <w:spacing w:before="120" w:after="120" w:line="288" w:lineRule="auto"/>
        <w:ind w:left="0"/>
        <w:jc w:val="left"/>
      </w:pPr>
      <w:r>
        <w:rPr>
          <w:rFonts w:eastAsia="等线" w:ascii="Arial" w:cs="Arial" w:hAnsi="Arial"/>
          <w:b w:val="true"/>
          <w:sz w:val="22"/>
        </w:rPr>
        <w:t>Managerial Dashboards:</w:t>
      </w:r>
      <w:r>
        <w:rPr>
          <w:rFonts w:eastAsia="等线" w:ascii="Arial" w:cs="Arial" w:hAnsi="Arial"/>
          <w:sz w:val="22"/>
        </w:rPr>
        <w:t xml:space="preserve"> Provide leadership teams with visibility into performance, revenue, and outstanding actions.</w:t>
      </w:r>
    </w:p>
    <w:p>
      <w:pPr>
        <w:spacing w:before="120" w:after="120" w:line="288" w:lineRule="auto"/>
        <w:ind w:left="0"/>
        <w:jc w:val="left"/>
      </w:pPr>
      <w:r>
        <w:rPr>
          <w:rFonts w:eastAsia="等线" w:ascii="Arial" w:cs="Arial" w:hAnsi="Arial"/>
          <w:b w:val="true"/>
          <w:sz w:val="22"/>
        </w:rPr>
        <w:t>Integration Interfaces:</w:t>
      </w:r>
    </w:p>
    <w:p>
      <w:pPr>
        <w:numPr>
          <w:numId w:val="121"/>
        </w:numPr>
        <w:spacing w:before="120" w:after="120" w:line="288" w:lineRule="auto"/>
        <w:ind w:left="0"/>
        <w:jc w:val="left"/>
      </w:pPr>
      <w:r>
        <w:rPr>
          <w:rFonts w:eastAsia="等线" w:ascii="Arial" w:cs="Arial" w:hAnsi="Arial"/>
          <w:sz w:val="22"/>
        </w:rPr>
        <w:t>Standardized APIs for extending functionality and connecting with external platforms.</w:t>
      </w:r>
    </w:p>
    <w:p>
      <w:pPr>
        <w:numPr>
          <w:numId w:val="122"/>
        </w:numPr>
        <w:spacing w:before="120" w:after="120" w:line="288" w:lineRule="auto"/>
        <w:ind w:left="0"/>
        <w:jc w:val="left"/>
      </w:pPr>
      <w:r>
        <w:rPr>
          <w:rFonts w:eastAsia="等线" w:ascii="Arial" w:cs="Arial" w:hAnsi="Arial"/>
          <w:sz w:val="22"/>
        </w:rPr>
        <w:t>Pre-built integrations with major sales channels (Shopee, Lazada, TikTok, Shopify, WooCommerce) and communication tools (WhatsApp, Telegram, WeChat, Messenger, Email).</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5" w:id="45"/>
      <w:r>
        <w:rPr>
          <w:rFonts w:eastAsia="等线" w:ascii="Arial" w:cs="Arial" w:hAnsi="Arial"/>
          <w:color w:val="3370ff"/>
          <w:sz w:val="32"/>
        </w:rPr>
        <w:t xml:space="preserve">8.3 </w:t>
      </w:r>
      <w:r>
        <w:rPr>
          <w:rFonts w:eastAsia="等线" w:ascii="Arial" w:cs="Arial" w:hAnsi="Arial"/>
          <w:b w:val="true"/>
          <w:sz w:val="32"/>
        </w:rPr>
        <w:t>Core System Capabilities</w:t>
      </w:r>
      <w:bookmarkEnd w:id="45"/>
    </w:p>
    <w:p>
      <w:pPr>
        <w:numPr>
          <w:numId w:val="123"/>
        </w:numPr>
        <w:spacing w:before="120" w:after="120" w:line="288" w:lineRule="auto"/>
        <w:ind w:left="0"/>
        <w:jc w:val="left"/>
      </w:pPr>
      <w:r>
        <w:rPr>
          <w:rFonts w:eastAsia="等线" w:ascii="Arial" w:cs="Arial" w:hAnsi="Arial"/>
          <w:b w:val="true"/>
          <w:sz w:val="22"/>
        </w:rPr>
        <w:t>Unified Business Foundation:</w:t>
      </w:r>
      <w:r>
        <w:rPr>
          <w:rFonts w:eastAsia="等线" w:ascii="Arial" w:cs="Arial" w:hAnsi="Arial"/>
          <w:sz w:val="22"/>
        </w:rPr>
        <w:t xml:space="preserve"> A robust digital core that consolidates sales, finance, inventory, logistics, and communications into one environment.</w:t>
      </w:r>
    </w:p>
    <w:p>
      <w:pPr>
        <w:numPr>
          <w:numId w:val="124"/>
        </w:numPr>
        <w:spacing w:before="120" w:after="120" w:line="288" w:lineRule="auto"/>
        <w:ind w:left="0"/>
        <w:jc w:val="left"/>
      </w:pPr>
      <w:r>
        <w:rPr>
          <w:rFonts w:eastAsia="等线" w:ascii="Arial" w:cs="Arial" w:hAnsi="Arial"/>
          <w:b w:val="true"/>
          <w:sz w:val="22"/>
        </w:rPr>
        <w:t>Customizable Workflows:</w:t>
      </w:r>
      <w:r>
        <w:rPr>
          <w:rFonts w:eastAsia="等线" w:ascii="Arial" w:cs="Arial" w:hAnsi="Arial"/>
          <w:sz w:val="22"/>
        </w:rPr>
        <w:t xml:space="preserve"> Business processes can be tailored to reflect each company’s policies and approval steps.</w:t>
      </w:r>
    </w:p>
    <w:p>
      <w:pPr>
        <w:numPr>
          <w:numId w:val="125"/>
        </w:numPr>
        <w:spacing w:before="120" w:after="120" w:line="288" w:lineRule="auto"/>
        <w:ind w:left="0"/>
        <w:jc w:val="left"/>
      </w:pPr>
      <w:r>
        <w:rPr>
          <w:rFonts w:eastAsia="等线" w:ascii="Arial" w:cs="Arial" w:hAnsi="Arial"/>
          <w:b w:val="true"/>
          <w:sz w:val="22"/>
        </w:rPr>
        <w:t>Scalable Data Models:</w:t>
      </w:r>
      <w:r>
        <w:rPr>
          <w:rFonts w:eastAsia="等线" w:ascii="Arial" w:cs="Arial" w:hAnsi="Arial"/>
          <w:sz w:val="22"/>
        </w:rPr>
        <w:t xml:space="preserve"> Flexible structures accommodate both standardized records and unique, platform-specific requirements.</w:t>
      </w:r>
    </w:p>
    <w:p>
      <w:pPr>
        <w:numPr>
          <w:numId w:val="126"/>
        </w:numPr>
        <w:spacing w:before="120" w:after="120" w:line="288" w:lineRule="auto"/>
        <w:ind w:left="0"/>
        <w:jc w:val="left"/>
      </w:pPr>
      <w:r>
        <w:rPr>
          <w:rFonts w:eastAsia="等线" w:ascii="Arial" w:cs="Arial" w:hAnsi="Arial"/>
          <w:b w:val="true"/>
          <w:sz w:val="22"/>
        </w:rPr>
        <w:t>Extensibility:</w:t>
      </w:r>
      <w:r>
        <w:rPr>
          <w:rFonts w:eastAsia="等线" w:ascii="Arial" w:cs="Arial" w:hAnsi="Arial"/>
          <w:sz w:val="22"/>
        </w:rPr>
        <w:t xml:space="preserve"> Companies can configure new rules, workflows, and integrations without disrupting existing processes.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6" w:id="46"/>
      <w:r>
        <w:rPr>
          <w:rFonts w:eastAsia="等线" w:ascii="Arial" w:cs="Arial" w:hAnsi="Arial"/>
          <w:color w:val="3370ff"/>
          <w:sz w:val="32"/>
        </w:rPr>
        <w:t xml:space="preserve">8.4 </w:t>
      </w:r>
      <w:r>
        <w:rPr>
          <w:rFonts w:eastAsia="等线" w:ascii="Arial" w:cs="Arial" w:hAnsi="Arial"/>
          <w:b w:val="true"/>
          <w:sz w:val="32"/>
        </w:rPr>
        <w:t>Security &amp; Compliance</w:t>
      </w:r>
      <w:bookmarkEnd w:id="46"/>
    </w:p>
    <w:p>
      <w:pPr>
        <w:numPr>
          <w:numId w:val="127"/>
        </w:numPr>
        <w:spacing w:before="120" w:after="120" w:line="288" w:lineRule="auto"/>
        <w:ind w:left="0"/>
        <w:jc w:val="left"/>
      </w:pPr>
      <w:r>
        <w:rPr>
          <w:rFonts w:eastAsia="等线" w:ascii="Arial" w:cs="Arial" w:hAnsi="Arial"/>
          <w:b w:val="true"/>
          <w:sz w:val="22"/>
        </w:rPr>
        <w:t xml:space="preserve">Authentication: </w:t>
      </w:r>
      <w:r>
        <w:rPr>
          <w:rFonts w:eastAsia="等线" w:ascii="Arial" w:cs="Arial" w:hAnsi="Arial"/>
          <w:sz w:val="22"/>
        </w:rPr>
        <w:t>The system currently supports secure, role-based access with standard authentication. Additional options such as two-factor authentication (2FA) and single sign-on (SSO) will be introduced in future releases to further strengthen enterprise security.</w:t>
      </w:r>
    </w:p>
    <w:p>
      <w:pPr>
        <w:numPr>
          <w:numId w:val="128"/>
        </w:numPr>
        <w:spacing w:before="120" w:after="120" w:line="288" w:lineRule="auto"/>
        <w:ind w:left="0"/>
        <w:jc w:val="left"/>
      </w:pPr>
      <w:r>
        <w:rPr>
          <w:rFonts w:eastAsia="等线" w:ascii="Arial" w:cs="Arial" w:hAnsi="Arial"/>
          <w:b w:val="true"/>
          <w:sz w:val="22"/>
        </w:rPr>
        <w:t>Data Isolation:</w:t>
      </w:r>
      <w:r>
        <w:rPr>
          <w:rFonts w:eastAsia="等线" w:ascii="Arial" w:cs="Arial" w:hAnsi="Arial"/>
          <w:sz w:val="22"/>
        </w:rPr>
        <w:t xml:space="preserve"> Company-level isolation; Enterprise clients get fully isolated database instances, ensuring data encryption in transit and at rest.</w:t>
      </w:r>
    </w:p>
    <w:p>
      <w:pPr>
        <w:numPr>
          <w:numId w:val="129"/>
        </w:numPr>
        <w:spacing w:before="120" w:after="120" w:line="288" w:lineRule="auto"/>
        <w:ind w:left="0"/>
        <w:jc w:val="left"/>
      </w:pPr>
      <w:r>
        <w:rPr>
          <w:rFonts w:eastAsia="等线" w:ascii="Arial" w:cs="Arial" w:hAnsi="Arial"/>
          <w:b w:val="true"/>
          <w:sz w:val="22"/>
        </w:rPr>
        <w:t>Encryption:</w:t>
      </w:r>
      <w:r>
        <w:rPr>
          <w:rFonts w:eastAsia="等线" w:ascii="Arial" w:cs="Arial" w:hAnsi="Arial"/>
          <w:sz w:val="22"/>
        </w:rPr>
        <w:t xml:space="preserve"> TLS 1.2/1.3 in transit, AES-256 at rest.</w:t>
      </w:r>
    </w:p>
    <w:p>
      <w:pPr>
        <w:numPr>
          <w:numId w:val="130"/>
        </w:numPr>
        <w:spacing w:before="120" w:after="120" w:line="288" w:lineRule="auto"/>
        <w:ind w:left="0"/>
        <w:jc w:val="left"/>
      </w:pPr>
      <w:r>
        <w:rPr>
          <w:rFonts w:eastAsia="等线" w:ascii="Arial" w:cs="Arial" w:hAnsi="Arial"/>
          <w:b w:val="true"/>
          <w:sz w:val="22"/>
        </w:rPr>
        <w:t>Compliance Roadmap:</w:t>
      </w:r>
      <w:r>
        <w:rPr>
          <w:rFonts w:eastAsia="等线" w:ascii="Arial" w:cs="Arial" w:hAnsi="Arial"/>
          <w:sz w:val="22"/>
        </w:rPr>
        <w:t xml:space="preserve"> SOC2, ISO27001, GDPR readiness, and customer-managed encryption keys (Enterprise).</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7" w:id="47"/>
      <w:r>
        <w:rPr>
          <w:rFonts w:eastAsia="等线" w:ascii="Arial" w:cs="Arial" w:hAnsi="Arial"/>
          <w:color w:val="3370ff"/>
          <w:sz w:val="32"/>
        </w:rPr>
        <w:t xml:space="preserve">8.5 </w:t>
      </w:r>
      <w:r>
        <w:rPr>
          <w:rFonts w:eastAsia="等线" w:ascii="Arial" w:cs="Arial" w:hAnsi="Arial"/>
          <w:b w:val="true"/>
          <w:sz w:val="32"/>
        </w:rPr>
        <w:t>Availability &amp; Performance</w:t>
      </w:r>
      <w:bookmarkEnd w:id="47"/>
    </w:p>
    <w:p>
      <w:pPr>
        <w:numPr>
          <w:numId w:val="131"/>
        </w:numPr>
        <w:spacing w:before="120" w:after="120" w:line="288" w:lineRule="auto"/>
        <w:ind w:left="0"/>
        <w:jc w:val="left"/>
      </w:pPr>
      <w:r>
        <w:rPr>
          <w:rFonts w:eastAsia="等线" w:ascii="Arial" w:cs="Arial" w:hAnsi="Arial"/>
          <w:b w:val="true"/>
          <w:sz w:val="22"/>
        </w:rPr>
        <w:t>High Availability:</w:t>
      </w:r>
      <w:r>
        <w:rPr>
          <w:rFonts w:eastAsia="等线" w:ascii="Arial" w:cs="Arial" w:hAnsi="Arial"/>
          <w:sz w:val="22"/>
        </w:rPr>
        <w:t xml:space="preserve"> Built-in redundancy and automated failover to minimize downtime.</w:t>
      </w:r>
    </w:p>
    <w:p>
      <w:pPr>
        <w:numPr>
          <w:numId w:val="132"/>
        </w:numPr>
        <w:spacing w:before="120" w:after="120" w:line="288" w:lineRule="auto"/>
        <w:ind w:left="0"/>
        <w:jc w:val="left"/>
      </w:pPr>
      <w:r>
        <w:rPr>
          <w:rFonts w:eastAsia="等线" w:ascii="Arial" w:cs="Arial" w:hAnsi="Arial"/>
          <w:b w:val="true"/>
          <w:sz w:val="22"/>
        </w:rPr>
        <w:t>Scalability:</w:t>
      </w:r>
      <w:r>
        <w:rPr>
          <w:rFonts w:eastAsia="等线" w:ascii="Arial" w:cs="Arial" w:hAnsi="Arial"/>
          <w:sz w:val="22"/>
        </w:rPr>
        <w:t xml:space="preserve"> Infrastructure expands automatically to handle seasonal sales peaks and large transaction volumes.</w:t>
      </w:r>
    </w:p>
    <w:p>
      <w:pPr>
        <w:numPr>
          <w:numId w:val="133"/>
        </w:numPr>
        <w:spacing w:before="120" w:after="120" w:line="288" w:lineRule="auto"/>
        <w:ind w:left="0"/>
        <w:jc w:val="left"/>
      </w:pPr>
      <w:r>
        <w:rPr>
          <w:rFonts w:eastAsia="等线" w:ascii="Arial" w:cs="Arial" w:hAnsi="Arial"/>
          <w:b w:val="true"/>
          <w:sz w:val="22"/>
        </w:rPr>
        <w:t>Uptime Commitment:</w:t>
      </w:r>
      <w:r>
        <w:rPr>
          <w:rFonts w:eastAsia="等线" w:ascii="Arial" w:cs="Arial" w:hAnsi="Arial"/>
          <w:sz w:val="22"/>
        </w:rPr>
        <w:t xml:space="preserve"> 99.9% uptime SLA for Pro and Enterprise clients.</w:t>
      </w:r>
    </w:p>
    <w:p>
      <w:pPr>
        <w:numPr>
          <w:numId w:val="134"/>
        </w:numPr>
        <w:spacing w:before="120" w:after="120" w:line="288" w:lineRule="auto"/>
        <w:ind w:left="0"/>
        <w:jc w:val="left"/>
      </w:pPr>
      <w:r>
        <w:rPr>
          <w:rFonts w:eastAsia="等线" w:ascii="Arial" w:cs="Arial" w:hAnsi="Arial"/>
          <w:b w:val="true"/>
          <w:sz w:val="22"/>
        </w:rPr>
        <w:t>Performance Monitoring:</w:t>
      </w:r>
      <w:r>
        <w:rPr>
          <w:rFonts w:eastAsia="等线" w:ascii="Arial" w:cs="Arial" w:hAnsi="Arial"/>
          <w:sz w:val="22"/>
        </w:rPr>
        <w:t xml:space="preserve"> Proactive system monitoring and optimization to maintain speed and reliability.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8" w:id="48"/>
      <w:r>
        <w:rPr>
          <w:rFonts w:eastAsia="等线" w:ascii="Arial" w:cs="Arial" w:hAnsi="Arial"/>
          <w:color w:val="3370ff"/>
          <w:sz w:val="32"/>
        </w:rPr>
        <w:t xml:space="preserve">8.6 </w:t>
      </w:r>
      <w:r>
        <w:rPr>
          <w:rFonts w:eastAsia="等线" w:ascii="Arial" w:cs="Arial" w:hAnsi="Arial"/>
          <w:b w:val="true"/>
          <w:sz w:val="32"/>
        </w:rPr>
        <w:t>Customization &amp; Extensibility</w:t>
      </w:r>
      <w:bookmarkEnd w:id="48"/>
    </w:p>
    <w:p>
      <w:pPr>
        <w:numPr>
          <w:numId w:val="135"/>
        </w:numPr>
        <w:spacing w:before="120" w:after="120" w:line="288" w:lineRule="auto"/>
        <w:ind w:left="0"/>
        <w:jc w:val="left"/>
      </w:pPr>
      <w:r>
        <w:rPr>
          <w:rFonts w:eastAsia="等线" w:ascii="Arial" w:cs="Arial" w:hAnsi="Arial"/>
          <w:b w:val="true"/>
          <w:sz w:val="22"/>
        </w:rPr>
        <w:t>Workflow Customization:</w:t>
      </w:r>
      <w:r>
        <w:rPr>
          <w:rFonts w:eastAsia="等线" w:ascii="Arial" w:cs="Arial" w:hAnsi="Arial"/>
          <w:sz w:val="22"/>
        </w:rPr>
        <w:t xml:space="preserve"> Clients may request adjustments to approval flows, SOPs, and operational processes. Such requests will be reviewed and delivered through formal change requests or variation orders, subject to feasibility and vendor assessment.</w:t>
      </w:r>
    </w:p>
    <w:p>
      <w:pPr>
        <w:numPr>
          <w:numId w:val="136"/>
        </w:numPr>
        <w:spacing w:before="120" w:after="120" w:line="288" w:lineRule="auto"/>
        <w:ind w:left="0"/>
        <w:jc w:val="left"/>
      </w:pPr>
      <w:r>
        <w:rPr>
          <w:rFonts w:eastAsia="等线" w:ascii="Arial" w:cs="Arial" w:hAnsi="Arial"/>
          <w:b w:val="true"/>
          <w:sz w:val="22"/>
        </w:rPr>
        <w:t>Data Flexibility:</w:t>
      </w:r>
      <w:r>
        <w:rPr>
          <w:rFonts w:eastAsia="等线" w:ascii="Arial" w:cs="Arial" w:hAnsi="Arial"/>
          <w:sz w:val="22"/>
        </w:rPr>
        <w:t xml:space="preserve"> While standard business records are provided out-of-the-box, additional configurable fields or data models can be introduced upon request. These enhancements are subject to evaluation by the vendor’s development team and may require separate approval.</w:t>
      </w:r>
    </w:p>
    <w:p>
      <w:pPr>
        <w:numPr>
          <w:numId w:val="137"/>
        </w:numPr>
        <w:spacing w:before="120" w:after="120" w:line="288" w:lineRule="auto"/>
        <w:ind w:left="0"/>
        <w:jc w:val="left"/>
      </w:pPr>
      <w:r>
        <w:rPr>
          <w:rFonts w:eastAsia="等线" w:ascii="Arial" w:cs="Arial" w:hAnsi="Arial"/>
          <w:b w:val="true"/>
          <w:sz w:val="22"/>
        </w:rPr>
        <w:t>Branding Options:</w:t>
      </w:r>
      <w:r>
        <w:rPr>
          <w:rFonts w:eastAsia="等线" w:ascii="Arial" w:cs="Arial" w:hAnsi="Arial"/>
          <w:sz w:val="22"/>
        </w:rPr>
        <w:t xml:space="preserve"> Enterprise clients may request white-labeling of the system with their own branding and domains. Branding changes outside the standard scope will be handled as a variation order.</w:t>
      </w:r>
    </w:p>
    <w:p>
      <w:pPr>
        <w:numPr>
          <w:numId w:val="138"/>
        </w:numPr>
        <w:spacing w:before="120" w:after="120" w:line="288" w:lineRule="auto"/>
        <w:ind w:left="0"/>
        <w:jc w:val="left"/>
      </w:pPr>
      <w:r>
        <w:rPr>
          <w:rFonts w:eastAsia="等线" w:ascii="Arial" w:cs="Arial" w:hAnsi="Arial"/>
          <w:b w:val="true"/>
          <w:sz w:val="22"/>
        </w:rPr>
        <w:t>Integration Points:</w:t>
      </w:r>
      <w:r>
        <w:rPr>
          <w:rFonts w:eastAsia="等线" w:ascii="Arial" w:cs="Arial" w:hAnsi="Arial"/>
          <w:sz w:val="22"/>
        </w:rPr>
        <w:t xml:space="preserve"> New integrations with external platforms (via APIs, event triggers, or modular connectors) can be developed upon request. The vendor will assess the complexity and impact of such integrations, which will be delivered through formal change requests.</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9" w:id="49"/>
      <w:r>
        <w:rPr>
          <w:rFonts w:eastAsia="等线" w:ascii="Arial" w:cs="Arial" w:hAnsi="Arial"/>
          <w:color w:val="3370ff"/>
          <w:sz w:val="36"/>
        </w:rPr>
        <w:t xml:space="preserve">9. </w:t>
      </w:r>
      <w:r>
        <w:rPr>
          <w:rFonts w:eastAsia="等线" w:ascii="Arial" w:cs="Arial" w:hAnsi="Arial"/>
          <w:b w:val="true"/>
          <w:sz w:val="36"/>
        </w:rPr>
        <w:t>Acknowledgement &amp; Agreement</w:t>
      </w:r>
      <w:bookmarkEnd w:id="49"/>
    </w:p>
    <w:p>
      <w:pPr>
        <w:spacing w:before="120" w:after="120" w:line="288" w:lineRule="auto"/>
        <w:ind w:left="0"/>
        <w:jc w:val="left"/>
      </w:pPr>
      <w:r>
        <w:rPr>
          <w:rFonts w:eastAsia="等线" w:ascii="Arial" w:cs="Arial" w:hAnsi="Arial"/>
          <w:sz w:val="22"/>
        </w:rPr>
        <w:t>This document serves as a baseline specification and framework for Maia’s implementation and usage. By signing below, both parties agree to the commitments, responsibilities, and exclusions set out herein.</w:t>
      </w:r>
    </w:p>
    <w:p>
      <w:pPr>
        <w:spacing w:before="120" w:after="120" w:line="288" w:lineRule="auto"/>
        <w:ind w:left="0"/>
        <w:jc w:val="left"/>
      </w:pPr>
      <w:r>
        <w:rPr>
          <w:rFonts w:eastAsia="等线" w:ascii="Arial" w:cs="Arial" w:hAnsi="Arial"/>
          <w:b w:val="true"/>
          <w:sz w:val="22"/>
        </w:rPr>
        <w:t>For Mindhive</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r>
        <w:rPr>
          <w:rFonts w:eastAsia="等线" w:ascii="Arial" w:cs="Arial" w:hAnsi="Arial"/>
          <w:b w:val="true"/>
          <w:sz w:val="22"/>
        </w:rPr>
        <w:t>For Lean Giap</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515"/>
      </w:tblGrid>
      <w:tr>
        <w:tc>
          <w:tcPr>
            <w:tcW w:w="451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____________________________</w:t>
            </w:r>
          </w:p>
          <w:p>
            <w:pPr>
              <w:spacing w:before="120" w:after="120" w:line="288" w:lineRule="auto"/>
              <w:ind w:left="0"/>
              <w:jc w:val="left"/>
            </w:pPr>
            <w:r>
              <w:rPr>
                <w:rFonts w:eastAsia="等线" w:ascii="Arial" w:cs="Arial" w:hAnsi="Arial"/>
                <w:sz w:val="22"/>
              </w:rPr>
              <w:t>Signature</w:t>
            </w:r>
          </w:p>
        </w:tc>
      </w:tr>
      <w:tr>
        <w:tc>
          <w:tcPr>
            <w:tcW w:w="4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Name: </w:t>
            </w:r>
          </w:p>
          <w:p>
            <w:pPr>
              <w:spacing w:before="120" w:after="120" w:line="288" w:lineRule="auto"/>
              <w:ind w:left="0"/>
              <w:jc w:val="left"/>
            </w:pPr>
            <w:r>
              <w:rPr>
                <w:rFonts w:eastAsia="等线" w:ascii="Arial" w:cs="Arial" w:hAnsi="Arial"/>
                <w:sz w:val="22"/>
              </w:rPr>
              <w:t xml:space="preserve">Position: </w:t>
            </w:r>
          </w:p>
          <w:p>
            <w:pPr>
              <w:spacing w:before="120" w:after="120" w:line="288" w:lineRule="auto"/>
              <w:ind w:left="0"/>
              <w:jc w:val="left"/>
            </w:pPr>
            <w:r>
              <w:rPr>
                <w:rFonts w:eastAsia="等线" w:ascii="Arial" w:cs="Arial" w:hAnsi="Arial"/>
                <w:sz w:val="22"/>
              </w:rPr>
              <w:t xml:space="preserve">Date: </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67919">
    <w:lvl>
      <w:numFmt w:val="bullet"/>
      <w:suff w:val="tab"/>
      <w:lvlText w:val="•"/>
      <w:rPr>
        <w:color w:val="3370ff"/>
      </w:rPr>
    </w:lvl>
  </w:abstractNum>
  <w:abstractNum w:abstractNumId="367920">
    <w:lvl>
      <w:numFmt w:val="bullet"/>
      <w:suff w:val="tab"/>
      <w:lvlText w:val="•"/>
      <w:rPr>
        <w:color w:val="3370ff"/>
      </w:rPr>
    </w:lvl>
  </w:abstractNum>
  <w:abstractNum w:abstractNumId="367921">
    <w:lvl>
      <w:numFmt w:val="bullet"/>
      <w:suff w:val="tab"/>
      <w:lvlText w:val="•"/>
      <w:rPr>
        <w:color w:val="3370ff"/>
      </w:rPr>
    </w:lvl>
  </w:abstractNum>
  <w:abstractNum w:abstractNumId="367922">
    <w:lvl>
      <w:start w:val="1"/>
      <w:numFmt w:val="decimal"/>
      <w:suff w:val="tab"/>
      <w:lvlText w:val="%1."/>
      <w:rPr>
        <w:color w:val="3370ff"/>
      </w:rPr>
    </w:lvl>
  </w:abstractNum>
  <w:abstractNum w:abstractNumId="367923">
    <w:lvl>
      <w:start w:val="2"/>
      <w:numFmt w:val="decimal"/>
      <w:suff w:val="tab"/>
      <w:lvlText w:val="%1."/>
      <w:rPr>
        <w:color w:val="3370ff"/>
      </w:rPr>
    </w:lvl>
  </w:abstractNum>
  <w:abstractNum w:abstractNumId="367924">
    <w:lvl>
      <w:numFmt w:val="bullet"/>
      <w:suff w:val="tab"/>
      <w:lvlText w:val="•"/>
      <w:rPr>
        <w:color w:val="3370ff"/>
      </w:rPr>
    </w:lvl>
  </w:abstractNum>
  <w:abstractNum w:abstractNumId="367925">
    <w:lvl>
      <w:numFmt w:val="bullet"/>
      <w:suff w:val="tab"/>
      <w:lvlText w:val="￮"/>
      <w:rPr>
        <w:color w:val="3370ff"/>
      </w:rPr>
    </w:lvl>
  </w:abstractNum>
  <w:abstractNum w:abstractNumId="367926">
    <w:lvl>
      <w:numFmt w:val="bullet"/>
      <w:suff w:val="tab"/>
      <w:lvlText w:val="•"/>
      <w:rPr>
        <w:color w:val="3370ff"/>
      </w:rPr>
    </w:lvl>
  </w:abstractNum>
  <w:abstractNum w:abstractNumId="367927">
    <w:lvl>
      <w:numFmt w:val="bullet"/>
      <w:suff w:val="tab"/>
      <w:lvlText w:val="￮"/>
      <w:rPr>
        <w:color w:val="3370ff"/>
      </w:rPr>
    </w:lvl>
  </w:abstractNum>
  <w:abstractNum w:abstractNumId="367928">
    <w:lvl>
      <w:numFmt w:val="bullet"/>
      <w:suff w:val="tab"/>
      <w:lvlText w:val="￮"/>
      <w:rPr>
        <w:color w:val="3370ff"/>
      </w:rPr>
    </w:lvl>
  </w:abstractNum>
  <w:abstractNum w:abstractNumId="367929">
    <w:lvl>
      <w:numFmt w:val="bullet"/>
      <w:suff w:val="tab"/>
      <w:lvlText w:val="▪"/>
      <w:rPr>
        <w:color w:val="3370ff"/>
        <w:sz w:val="11"/>
      </w:rPr>
    </w:lvl>
  </w:abstractNum>
  <w:abstractNum w:abstractNumId="367930">
    <w:lvl>
      <w:numFmt w:val="bullet"/>
      <w:suff w:val="tab"/>
      <w:lvlText w:val="▪"/>
      <w:rPr>
        <w:color w:val="3370ff"/>
        <w:sz w:val="11"/>
      </w:rPr>
    </w:lvl>
  </w:abstractNum>
  <w:abstractNum w:abstractNumId="367931">
    <w:lvl>
      <w:numFmt w:val="bullet"/>
      <w:suff w:val="tab"/>
      <w:lvlText w:val="•"/>
      <w:rPr>
        <w:color w:val="3370ff"/>
      </w:rPr>
    </w:lvl>
  </w:abstractNum>
  <w:abstractNum w:abstractNumId="367932">
    <w:lvl>
      <w:numFmt w:val="bullet"/>
      <w:suff w:val="tab"/>
      <w:lvlText w:val="•"/>
      <w:rPr>
        <w:color w:val="3370ff"/>
      </w:rPr>
    </w:lvl>
  </w:abstractNum>
  <w:abstractNum w:abstractNumId="367933">
    <w:lvl>
      <w:numFmt w:val="bullet"/>
      <w:suff w:val="tab"/>
      <w:lvlText w:val="￮"/>
      <w:rPr>
        <w:color w:val="3370ff"/>
      </w:rPr>
    </w:lvl>
  </w:abstractNum>
  <w:abstractNum w:abstractNumId="367934">
    <w:lvl>
      <w:numFmt w:val="bullet"/>
      <w:suff w:val="tab"/>
      <w:lvlText w:val="￮"/>
      <w:rPr>
        <w:color w:val="3370ff"/>
      </w:rPr>
    </w:lvl>
  </w:abstractNum>
  <w:abstractNum w:abstractNumId="367935">
    <w:lvl>
      <w:numFmt w:val="bullet"/>
      <w:suff w:val="tab"/>
      <w:lvlText w:val="￮"/>
      <w:rPr>
        <w:color w:val="3370ff"/>
      </w:rPr>
    </w:lvl>
  </w:abstractNum>
  <w:abstractNum w:abstractNumId="367936">
    <w:lvl>
      <w:numFmt w:val="bullet"/>
      <w:suff w:val="tab"/>
      <w:lvlText w:val="￮"/>
      <w:rPr>
        <w:color w:val="3370ff"/>
      </w:rPr>
    </w:lvl>
  </w:abstractNum>
  <w:abstractNum w:abstractNumId="367937">
    <w:lvl>
      <w:numFmt w:val="bullet"/>
      <w:suff w:val="tab"/>
      <w:lvlText w:val="￮"/>
      <w:rPr>
        <w:color w:val="3370ff"/>
      </w:rPr>
    </w:lvl>
  </w:abstractNum>
  <w:abstractNum w:abstractNumId="367938">
    <w:lvl>
      <w:numFmt w:val="bullet"/>
      <w:suff w:val="tab"/>
      <w:lvlText w:val="￮"/>
      <w:rPr>
        <w:color w:val="3370ff"/>
      </w:rPr>
    </w:lvl>
  </w:abstractNum>
  <w:abstractNum w:abstractNumId="367939">
    <w:lvl>
      <w:numFmt w:val="bullet"/>
      <w:suff w:val="tab"/>
      <w:lvlText w:val="￮"/>
      <w:rPr>
        <w:color w:val="3370ff"/>
      </w:rPr>
    </w:lvl>
  </w:abstractNum>
  <w:abstractNum w:abstractNumId="367940">
    <w:lvl>
      <w:numFmt w:val="bullet"/>
      <w:suff w:val="tab"/>
      <w:lvlText w:val="•"/>
      <w:rPr>
        <w:color w:val="3370ff"/>
      </w:rPr>
    </w:lvl>
  </w:abstractNum>
  <w:abstractNum w:abstractNumId="367941">
    <w:lvl>
      <w:numFmt w:val="bullet"/>
      <w:suff w:val="tab"/>
      <w:lvlText w:val="•"/>
      <w:rPr>
        <w:color w:val="3370ff"/>
      </w:rPr>
    </w:lvl>
  </w:abstractNum>
  <w:abstractNum w:abstractNumId="367942">
    <w:lvl>
      <w:numFmt w:val="bullet"/>
      <w:suff w:val="tab"/>
      <w:lvlText w:val="•"/>
      <w:rPr>
        <w:color w:val="3370ff"/>
      </w:rPr>
    </w:lvl>
  </w:abstractNum>
  <w:abstractNum w:abstractNumId="367943">
    <w:lvl>
      <w:numFmt w:val="bullet"/>
      <w:suff w:val="tab"/>
      <w:lvlText w:val="￮"/>
      <w:rPr>
        <w:color w:val="3370ff"/>
      </w:rPr>
    </w:lvl>
  </w:abstractNum>
  <w:abstractNum w:abstractNumId="367944">
    <w:lvl>
      <w:numFmt w:val="bullet"/>
      <w:suff w:val="tab"/>
      <w:lvlText w:val="•"/>
      <w:rPr>
        <w:color w:val="3370ff"/>
      </w:rPr>
    </w:lvl>
  </w:abstractNum>
  <w:abstractNum w:abstractNumId="367945">
    <w:lvl>
      <w:numFmt w:val="bullet"/>
      <w:suff w:val="tab"/>
      <w:lvlText w:val="￮"/>
      <w:rPr>
        <w:color w:val="3370ff"/>
      </w:rPr>
    </w:lvl>
  </w:abstractNum>
  <w:abstractNum w:abstractNumId="367946">
    <w:lvl>
      <w:numFmt w:val="bullet"/>
      <w:suff w:val="tab"/>
      <w:lvlText w:val="￮"/>
      <w:rPr>
        <w:color w:val="3370ff"/>
      </w:rPr>
    </w:lvl>
  </w:abstractNum>
  <w:abstractNum w:abstractNumId="367947">
    <w:lvl>
      <w:numFmt w:val="bullet"/>
      <w:suff w:val="tab"/>
      <w:lvlText w:val="￮"/>
      <w:rPr>
        <w:color w:val="3370ff"/>
      </w:rPr>
    </w:lvl>
  </w:abstractNum>
  <w:abstractNum w:abstractNumId="367948">
    <w:lvl>
      <w:numFmt w:val="bullet"/>
      <w:suff w:val="tab"/>
      <w:lvlText w:val="•"/>
      <w:rPr>
        <w:color w:val="3370ff"/>
      </w:rPr>
    </w:lvl>
  </w:abstractNum>
  <w:abstractNum w:abstractNumId="367949">
    <w:lvl>
      <w:numFmt w:val="bullet"/>
      <w:suff w:val="tab"/>
      <w:lvlText w:val="•"/>
      <w:rPr>
        <w:color w:val="3370ff"/>
      </w:rPr>
    </w:lvl>
  </w:abstractNum>
  <w:abstractNum w:abstractNumId="367950">
    <w:lvl>
      <w:numFmt w:val="bullet"/>
      <w:suff w:val="tab"/>
      <w:lvlText w:val="￮"/>
      <w:rPr>
        <w:color w:val="3370ff"/>
      </w:rPr>
    </w:lvl>
  </w:abstractNum>
  <w:abstractNum w:abstractNumId="367951">
    <w:lvl>
      <w:numFmt w:val="bullet"/>
      <w:suff w:val="tab"/>
      <w:lvlText w:val="￮"/>
      <w:rPr>
        <w:color w:val="3370ff"/>
      </w:rPr>
    </w:lvl>
  </w:abstractNum>
  <w:abstractNum w:abstractNumId="367952">
    <w:lvl>
      <w:numFmt w:val="bullet"/>
      <w:suff w:val="tab"/>
      <w:lvlText w:val="•"/>
      <w:rPr>
        <w:color w:val="3370ff"/>
      </w:rPr>
    </w:lvl>
  </w:abstractNum>
  <w:abstractNum w:abstractNumId="367953">
    <w:lvl>
      <w:numFmt w:val="bullet"/>
      <w:suff w:val="tab"/>
      <w:lvlText w:val="•"/>
      <w:rPr>
        <w:color w:val="3370ff"/>
      </w:rPr>
    </w:lvl>
  </w:abstractNum>
  <w:abstractNum w:abstractNumId="367954">
    <w:lvl>
      <w:numFmt w:val="bullet"/>
      <w:suff w:val="tab"/>
      <w:lvlText w:val="￮"/>
      <w:rPr>
        <w:color w:val="3370ff"/>
      </w:rPr>
    </w:lvl>
  </w:abstractNum>
  <w:abstractNum w:abstractNumId="367955">
    <w:lvl>
      <w:numFmt w:val="bullet"/>
      <w:suff w:val="tab"/>
      <w:lvlText w:val="￮"/>
      <w:rPr>
        <w:color w:val="3370ff"/>
      </w:rPr>
    </w:lvl>
  </w:abstractNum>
  <w:abstractNum w:abstractNumId="367956">
    <w:lvl>
      <w:numFmt w:val="bullet"/>
      <w:suff w:val="tab"/>
      <w:lvlText w:val="￮"/>
      <w:rPr>
        <w:color w:val="3370ff"/>
      </w:rPr>
    </w:lvl>
  </w:abstractNum>
  <w:abstractNum w:abstractNumId="367957">
    <w:lvl>
      <w:numFmt w:val="bullet"/>
      <w:suff w:val="tab"/>
      <w:lvlText w:val="￮"/>
      <w:rPr>
        <w:color w:val="3370ff"/>
      </w:rPr>
    </w:lvl>
  </w:abstractNum>
  <w:abstractNum w:abstractNumId="367958">
    <w:lvl>
      <w:numFmt w:val="bullet"/>
      <w:suff w:val="tab"/>
      <w:lvlText w:val="•"/>
      <w:rPr>
        <w:color w:val="3370ff"/>
      </w:rPr>
    </w:lvl>
  </w:abstractNum>
  <w:abstractNum w:abstractNumId="367959">
    <w:lvl>
      <w:numFmt w:val="bullet"/>
      <w:suff w:val="tab"/>
      <w:lvlText w:val="￮"/>
      <w:rPr>
        <w:color w:val="3370ff"/>
      </w:rPr>
    </w:lvl>
  </w:abstractNum>
  <w:abstractNum w:abstractNumId="367960">
    <w:lvl>
      <w:numFmt w:val="bullet"/>
      <w:suff w:val="tab"/>
      <w:lvlText w:val="￮"/>
      <w:rPr>
        <w:color w:val="3370ff"/>
      </w:rPr>
    </w:lvl>
  </w:abstractNum>
  <w:abstractNum w:abstractNumId="367961">
    <w:lvl>
      <w:numFmt w:val="bullet"/>
      <w:suff w:val="tab"/>
      <w:lvlText w:val="￮"/>
      <w:rPr>
        <w:color w:val="3370ff"/>
      </w:rPr>
    </w:lvl>
  </w:abstractNum>
  <w:abstractNum w:abstractNumId="367962">
    <w:lvl>
      <w:numFmt w:val="bullet"/>
      <w:suff w:val="tab"/>
      <w:lvlText w:val="￮"/>
      <w:rPr>
        <w:color w:val="3370ff"/>
      </w:rPr>
    </w:lvl>
  </w:abstractNum>
  <w:abstractNum w:abstractNumId="367963">
    <w:lvl>
      <w:numFmt w:val="bullet"/>
      <w:suff w:val="tab"/>
      <w:lvlText w:val="•"/>
      <w:rPr>
        <w:color w:val="3370ff"/>
      </w:rPr>
    </w:lvl>
  </w:abstractNum>
  <w:abstractNum w:abstractNumId="367964">
    <w:lvl>
      <w:numFmt w:val="bullet"/>
      <w:suff w:val="tab"/>
      <w:lvlText w:val="￮"/>
      <w:rPr>
        <w:color w:val="3370ff"/>
      </w:rPr>
    </w:lvl>
  </w:abstractNum>
  <w:abstractNum w:abstractNumId="367965">
    <w:lvl>
      <w:numFmt w:val="bullet"/>
      <w:suff w:val="tab"/>
      <w:lvlText w:val="￮"/>
      <w:rPr>
        <w:color w:val="3370ff"/>
      </w:rPr>
    </w:lvl>
  </w:abstractNum>
  <w:abstractNum w:abstractNumId="367966">
    <w:lvl>
      <w:numFmt w:val="bullet"/>
      <w:suff w:val="tab"/>
      <w:lvlText w:val="•"/>
      <w:rPr>
        <w:color w:val="3370ff"/>
      </w:rPr>
    </w:lvl>
  </w:abstractNum>
  <w:abstractNum w:abstractNumId="367967">
    <w:lvl>
      <w:numFmt w:val="bullet"/>
      <w:suff w:val="tab"/>
      <w:lvlText w:val="￮"/>
      <w:rPr>
        <w:color w:val="3370ff"/>
      </w:rPr>
    </w:lvl>
  </w:abstractNum>
  <w:abstractNum w:abstractNumId="367968">
    <w:lvl>
      <w:numFmt w:val="bullet"/>
      <w:suff w:val="tab"/>
      <w:lvlText w:val="￮"/>
      <w:rPr>
        <w:color w:val="3370ff"/>
      </w:rPr>
    </w:lvl>
  </w:abstractNum>
  <w:abstractNum w:abstractNumId="367969">
    <w:lvl>
      <w:numFmt w:val="bullet"/>
      <w:suff w:val="tab"/>
      <w:lvlText w:val="￮"/>
      <w:rPr>
        <w:color w:val="3370ff"/>
      </w:rPr>
    </w:lvl>
  </w:abstractNum>
  <w:abstractNum w:abstractNumId="367970">
    <w:lvl>
      <w:numFmt w:val="bullet"/>
      <w:suff w:val="tab"/>
      <w:lvlText w:val="￮"/>
      <w:rPr>
        <w:color w:val="3370ff"/>
      </w:rPr>
    </w:lvl>
  </w:abstractNum>
  <w:abstractNum w:abstractNumId="367971">
    <w:lvl>
      <w:numFmt w:val="bullet"/>
      <w:suff w:val="tab"/>
      <w:lvlText w:val="•"/>
      <w:rPr>
        <w:color w:val="3370ff"/>
      </w:rPr>
    </w:lvl>
  </w:abstractNum>
  <w:abstractNum w:abstractNumId="367972">
    <w:lvl>
      <w:numFmt w:val="bullet"/>
      <w:suff w:val="tab"/>
      <w:lvlText w:val="￮"/>
      <w:rPr>
        <w:color w:val="3370ff"/>
      </w:rPr>
    </w:lvl>
  </w:abstractNum>
  <w:abstractNum w:abstractNumId="367973">
    <w:lvl>
      <w:numFmt w:val="bullet"/>
      <w:suff w:val="tab"/>
      <w:lvlText w:val="￮"/>
      <w:rPr>
        <w:color w:val="3370ff"/>
      </w:rPr>
    </w:lvl>
  </w:abstractNum>
  <w:abstractNum w:abstractNumId="367974">
    <w:lvl>
      <w:numFmt w:val="bullet"/>
      <w:suff w:val="tab"/>
      <w:lvlText w:val="•"/>
      <w:rPr>
        <w:color w:val="3370ff"/>
      </w:rPr>
    </w:lvl>
  </w:abstractNum>
  <w:abstractNum w:abstractNumId="367975">
    <w:lvl>
      <w:numFmt w:val="bullet"/>
      <w:suff w:val="tab"/>
      <w:lvlText w:val="•"/>
      <w:rPr>
        <w:color w:val="3370ff"/>
      </w:rPr>
    </w:lvl>
  </w:abstractNum>
  <w:abstractNum w:abstractNumId="367976">
    <w:lvl>
      <w:numFmt w:val="bullet"/>
      <w:suff w:val="tab"/>
      <w:lvlText w:val="•"/>
      <w:rPr>
        <w:color w:val="3370ff"/>
      </w:rPr>
    </w:lvl>
  </w:abstractNum>
  <w:abstractNum w:abstractNumId="367977">
    <w:lvl>
      <w:numFmt w:val="bullet"/>
      <w:suff w:val="tab"/>
      <w:lvlText w:val="•"/>
      <w:rPr>
        <w:color w:val="3370ff"/>
      </w:rPr>
    </w:lvl>
  </w:abstractNum>
  <w:abstractNum w:abstractNumId="367978">
    <w:lvl>
      <w:numFmt w:val="bullet"/>
      <w:suff w:val="tab"/>
      <w:lvlText w:val="•"/>
      <w:rPr>
        <w:color w:val="3370ff"/>
      </w:rPr>
    </w:lvl>
  </w:abstractNum>
  <w:abstractNum w:abstractNumId="367979">
    <w:lvl>
      <w:numFmt w:val="bullet"/>
      <w:suff w:val="tab"/>
      <w:lvlText w:val="•"/>
      <w:rPr>
        <w:color w:val="3370ff"/>
      </w:rPr>
    </w:lvl>
  </w:abstractNum>
  <w:abstractNum w:abstractNumId="367980">
    <w:lvl>
      <w:numFmt w:val="bullet"/>
      <w:suff w:val="tab"/>
      <w:lvlText w:val="•"/>
      <w:rPr>
        <w:color w:val="3370ff"/>
      </w:rPr>
    </w:lvl>
  </w:abstractNum>
  <w:abstractNum w:abstractNumId="367981">
    <w:lvl>
      <w:numFmt w:val="bullet"/>
      <w:suff w:val="tab"/>
      <w:lvlText w:val="•"/>
      <w:rPr>
        <w:color w:val="3370ff"/>
      </w:rPr>
    </w:lvl>
  </w:abstractNum>
  <w:abstractNum w:abstractNumId="367982">
    <w:lvl>
      <w:numFmt w:val="bullet"/>
      <w:suff w:val="tab"/>
      <w:lvlText w:val="•"/>
      <w:rPr>
        <w:color w:val="3370ff"/>
      </w:rPr>
    </w:lvl>
  </w:abstractNum>
  <w:abstractNum w:abstractNumId="367983">
    <w:lvl>
      <w:numFmt w:val="bullet"/>
      <w:suff w:val="tab"/>
      <w:lvlText w:val="•"/>
      <w:rPr>
        <w:color w:val="3370ff"/>
      </w:rPr>
    </w:lvl>
  </w:abstractNum>
  <w:abstractNum w:abstractNumId="367984">
    <w:lvl>
      <w:numFmt w:val="bullet"/>
      <w:suff w:val="tab"/>
      <w:lvlText w:val="•"/>
      <w:rPr>
        <w:color w:val="3370ff"/>
      </w:rPr>
    </w:lvl>
  </w:abstractNum>
  <w:abstractNum w:abstractNumId="367985">
    <w:lvl>
      <w:numFmt w:val="bullet"/>
      <w:suff w:val="tab"/>
      <w:lvlText w:val="•"/>
      <w:rPr>
        <w:color w:val="3370ff"/>
      </w:rPr>
    </w:lvl>
  </w:abstractNum>
  <w:abstractNum w:abstractNumId="367986">
    <w:lvl>
      <w:numFmt w:val="bullet"/>
      <w:suff w:val="tab"/>
      <w:lvlText w:val="•"/>
      <w:rPr>
        <w:color w:val="3370ff"/>
      </w:rPr>
    </w:lvl>
  </w:abstractNum>
  <w:abstractNum w:abstractNumId="367987">
    <w:lvl>
      <w:numFmt w:val="bullet"/>
      <w:suff w:val="tab"/>
      <w:lvlText w:val="•"/>
      <w:rPr>
        <w:color w:val="3370ff"/>
      </w:rPr>
    </w:lvl>
  </w:abstractNum>
  <w:abstractNum w:abstractNumId="367988">
    <w:lvl>
      <w:numFmt w:val="bullet"/>
      <w:suff w:val="tab"/>
      <w:lvlText w:val="•"/>
      <w:rPr>
        <w:color w:val="3370ff"/>
      </w:rPr>
    </w:lvl>
  </w:abstractNum>
  <w:abstractNum w:abstractNumId="367989">
    <w:lvl>
      <w:numFmt w:val="bullet"/>
      <w:suff w:val="tab"/>
      <w:lvlText w:val="•"/>
      <w:rPr>
        <w:color w:val="3370ff"/>
      </w:rPr>
    </w:lvl>
  </w:abstractNum>
  <w:abstractNum w:abstractNumId="367990">
    <w:lvl>
      <w:numFmt w:val="bullet"/>
      <w:suff w:val="tab"/>
      <w:lvlText w:val="•"/>
      <w:rPr>
        <w:color w:val="3370ff"/>
      </w:rPr>
    </w:lvl>
  </w:abstractNum>
  <w:abstractNum w:abstractNumId="367991">
    <w:lvl>
      <w:numFmt w:val="bullet"/>
      <w:suff w:val="tab"/>
      <w:lvlText w:val="•"/>
      <w:rPr>
        <w:color w:val="3370ff"/>
      </w:rPr>
    </w:lvl>
  </w:abstractNum>
  <w:abstractNum w:abstractNumId="367992">
    <w:lvl>
      <w:numFmt w:val="bullet"/>
      <w:suff w:val="tab"/>
      <w:lvlText w:val="•"/>
      <w:rPr>
        <w:color w:val="3370ff"/>
      </w:rPr>
    </w:lvl>
  </w:abstractNum>
  <w:abstractNum w:abstractNumId="367993">
    <w:lvl>
      <w:numFmt w:val="bullet"/>
      <w:suff w:val="tab"/>
      <w:lvlText w:val="•"/>
      <w:rPr>
        <w:color w:val="3370ff"/>
      </w:rPr>
    </w:lvl>
  </w:abstractNum>
  <w:abstractNum w:abstractNumId="367994">
    <w:lvl>
      <w:numFmt w:val="bullet"/>
      <w:suff w:val="tab"/>
      <w:lvlText w:val="•"/>
      <w:rPr>
        <w:color w:val="3370ff"/>
      </w:rPr>
    </w:lvl>
  </w:abstractNum>
  <w:abstractNum w:abstractNumId="367995">
    <w:lvl>
      <w:numFmt w:val="bullet"/>
      <w:suff w:val="tab"/>
      <w:lvlText w:val="•"/>
      <w:rPr>
        <w:color w:val="3370ff"/>
      </w:rPr>
    </w:lvl>
  </w:abstractNum>
  <w:abstractNum w:abstractNumId="367996">
    <w:lvl>
      <w:numFmt w:val="bullet"/>
      <w:suff w:val="tab"/>
      <w:lvlText w:val="•"/>
      <w:rPr>
        <w:color w:val="3370ff"/>
      </w:rPr>
    </w:lvl>
  </w:abstractNum>
  <w:abstractNum w:abstractNumId="367997">
    <w:lvl>
      <w:numFmt w:val="bullet"/>
      <w:suff w:val="tab"/>
      <w:lvlText w:val="•"/>
      <w:rPr>
        <w:color w:val="3370ff"/>
      </w:rPr>
    </w:lvl>
  </w:abstractNum>
  <w:abstractNum w:abstractNumId="367998">
    <w:lvl>
      <w:numFmt w:val="bullet"/>
      <w:suff w:val="tab"/>
      <w:lvlText w:val="•"/>
      <w:rPr>
        <w:color w:val="3370ff"/>
      </w:rPr>
    </w:lvl>
  </w:abstractNum>
  <w:abstractNum w:abstractNumId="367999">
    <w:lvl>
      <w:numFmt w:val="bullet"/>
      <w:suff w:val="tab"/>
      <w:lvlText w:val="•"/>
      <w:rPr>
        <w:color w:val="3370ff"/>
      </w:rPr>
    </w:lvl>
  </w:abstractNum>
  <w:abstractNum w:abstractNumId="368000">
    <w:lvl>
      <w:numFmt w:val="bullet"/>
      <w:suff w:val="tab"/>
      <w:lvlText w:val="•"/>
      <w:rPr>
        <w:color w:val="3370ff"/>
      </w:rPr>
    </w:lvl>
  </w:abstractNum>
  <w:abstractNum w:abstractNumId="368001">
    <w:lvl>
      <w:numFmt w:val="bullet"/>
      <w:suff w:val="tab"/>
      <w:lvlText w:val="•"/>
      <w:rPr>
        <w:color w:val="3370ff"/>
      </w:rPr>
    </w:lvl>
  </w:abstractNum>
  <w:abstractNum w:abstractNumId="368002">
    <w:lvl>
      <w:numFmt w:val="bullet"/>
      <w:suff w:val="tab"/>
      <w:lvlText w:val="•"/>
      <w:rPr>
        <w:color w:val="3370ff"/>
      </w:rPr>
    </w:lvl>
  </w:abstractNum>
  <w:abstractNum w:abstractNumId="368003">
    <w:lvl>
      <w:numFmt w:val="bullet"/>
      <w:suff w:val="tab"/>
      <w:lvlText w:val="•"/>
      <w:rPr>
        <w:color w:val="3370ff"/>
      </w:rPr>
    </w:lvl>
  </w:abstractNum>
  <w:abstractNum w:abstractNumId="368004">
    <w:lvl>
      <w:numFmt w:val="bullet"/>
      <w:suff w:val="tab"/>
      <w:lvlText w:val="•"/>
      <w:rPr>
        <w:color w:val="3370ff"/>
      </w:rPr>
    </w:lvl>
  </w:abstractNum>
  <w:abstractNum w:abstractNumId="368005">
    <w:lvl>
      <w:numFmt w:val="bullet"/>
      <w:suff w:val="tab"/>
      <w:lvlText w:val="•"/>
      <w:rPr>
        <w:color w:val="3370ff"/>
      </w:rPr>
    </w:lvl>
  </w:abstractNum>
  <w:abstractNum w:abstractNumId="368006">
    <w:lvl>
      <w:numFmt w:val="bullet"/>
      <w:suff w:val="tab"/>
      <w:lvlText w:val="•"/>
      <w:rPr>
        <w:color w:val="3370ff"/>
      </w:rPr>
    </w:lvl>
  </w:abstractNum>
  <w:abstractNum w:abstractNumId="368007">
    <w:lvl>
      <w:numFmt w:val="bullet"/>
      <w:suff w:val="tab"/>
      <w:lvlText w:val="•"/>
      <w:rPr>
        <w:color w:val="3370ff"/>
      </w:rPr>
    </w:lvl>
  </w:abstractNum>
  <w:abstractNum w:abstractNumId="368008">
    <w:lvl>
      <w:numFmt w:val="bullet"/>
      <w:suff w:val="tab"/>
      <w:lvlText w:val="•"/>
      <w:rPr>
        <w:color w:val="3370ff"/>
      </w:rPr>
    </w:lvl>
  </w:abstractNum>
  <w:abstractNum w:abstractNumId="368009">
    <w:lvl>
      <w:numFmt w:val="bullet"/>
      <w:suff w:val="tab"/>
      <w:lvlText w:val="•"/>
      <w:rPr>
        <w:color w:val="3370ff"/>
      </w:rPr>
    </w:lvl>
  </w:abstractNum>
  <w:abstractNum w:abstractNumId="368010">
    <w:lvl>
      <w:numFmt w:val="bullet"/>
      <w:suff w:val="tab"/>
      <w:lvlText w:val="•"/>
      <w:rPr>
        <w:color w:val="3370ff"/>
      </w:rPr>
    </w:lvl>
  </w:abstractNum>
  <w:abstractNum w:abstractNumId="368011">
    <w:lvl>
      <w:numFmt w:val="bullet"/>
      <w:suff w:val="tab"/>
      <w:lvlText w:val="•"/>
      <w:rPr>
        <w:color w:val="3370ff"/>
      </w:rPr>
    </w:lvl>
  </w:abstractNum>
  <w:abstractNum w:abstractNumId="368012">
    <w:lvl>
      <w:numFmt w:val="bullet"/>
      <w:suff w:val="tab"/>
      <w:lvlText w:val="•"/>
      <w:rPr>
        <w:color w:val="3370ff"/>
      </w:rPr>
    </w:lvl>
  </w:abstractNum>
  <w:abstractNum w:abstractNumId="368013">
    <w:lvl>
      <w:numFmt w:val="bullet"/>
      <w:suff w:val="tab"/>
      <w:lvlText w:val="•"/>
      <w:rPr>
        <w:color w:val="3370ff"/>
      </w:rPr>
    </w:lvl>
  </w:abstractNum>
  <w:abstractNum w:abstractNumId="368014">
    <w:lvl>
      <w:numFmt w:val="bullet"/>
      <w:suff w:val="tab"/>
      <w:lvlText w:val="•"/>
      <w:rPr>
        <w:color w:val="3370ff"/>
      </w:rPr>
    </w:lvl>
  </w:abstractNum>
  <w:abstractNum w:abstractNumId="368015">
    <w:lvl>
      <w:numFmt w:val="bullet"/>
      <w:suff w:val="tab"/>
      <w:lvlText w:val="•"/>
      <w:rPr>
        <w:color w:val="3370ff"/>
      </w:rPr>
    </w:lvl>
  </w:abstractNum>
  <w:abstractNum w:abstractNumId="368016">
    <w:lvl>
      <w:numFmt w:val="bullet"/>
      <w:suff w:val="tab"/>
      <w:lvlText w:val="•"/>
      <w:rPr>
        <w:color w:val="3370ff"/>
      </w:rPr>
    </w:lvl>
  </w:abstractNum>
  <w:abstractNum w:abstractNumId="368017">
    <w:lvl>
      <w:numFmt w:val="bullet"/>
      <w:suff w:val="tab"/>
      <w:lvlText w:val="•"/>
      <w:rPr>
        <w:color w:val="3370ff"/>
      </w:rPr>
    </w:lvl>
  </w:abstractNum>
  <w:abstractNum w:abstractNumId="368018">
    <w:lvl>
      <w:numFmt w:val="bullet"/>
      <w:suff w:val="tab"/>
      <w:lvlText w:val="•"/>
      <w:rPr>
        <w:color w:val="3370ff"/>
      </w:rPr>
    </w:lvl>
  </w:abstractNum>
  <w:abstractNum w:abstractNumId="368019">
    <w:lvl>
      <w:numFmt w:val="bullet"/>
      <w:suff w:val="tab"/>
      <w:lvlText w:val="•"/>
      <w:rPr>
        <w:color w:val="3370ff"/>
      </w:rPr>
    </w:lvl>
  </w:abstractNum>
  <w:abstractNum w:abstractNumId="368020">
    <w:lvl>
      <w:numFmt w:val="bullet"/>
      <w:suff w:val="tab"/>
      <w:lvlText w:val="•"/>
      <w:rPr>
        <w:color w:val="3370ff"/>
      </w:rPr>
    </w:lvl>
  </w:abstractNum>
  <w:abstractNum w:abstractNumId="368021">
    <w:lvl>
      <w:numFmt w:val="bullet"/>
      <w:suff w:val="tab"/>
      <w:lvlText w:val="•"/>
      <w:rPr>
        <w:color w:val="3370ff"/>
      </w:rPr>
    </w:lvl>
  </w:abstractNum>
  <w:abstractNum w:abstractNumId="368022">
    <w:lvl>
      <w:numFmt w:val="bullet"/>
      <w:suff w:val="tab"/>
      <w:lvlText w:val="•"/>
      <w:rPr>
        <w:color w:val="3370ff"/>
      </w:rPr>
    </w:lvl>
  </w:abstractNum>
  <w:abstractNum w:abstractNumId="368023">
    <w:lvl>
      <w:numFmt w:val="bullet"/>
      <w:suff w:val="tab"/>
      <w:lvlText w:val="•"/>
      <w:rPr>
        <w:color w:val="3370ff"/>
      </w:rPr>
    </w:lvl>
  </w:abstractNum>
  <w:abstractNum w:abstractNumId="368024">
    <w:lvl>
      <w:numFmt w:val="bullet"/>
      <w:suff w:val="tab"/>
      <w:lvlText w:val="•"/>
      <w:rPr>
        <w:color w:val="3370ff"/>
      </w:rPr>
    </w:lvl>
  </w:abstractNum>
  <w:abstractNum w:abstractNumId="368025">
    <w:lvl>
      <w:numFmt w:val="bullet"/>
      <w:suff w:val="tab"/>
      <w:lvlText w:val="•"/>
      <w:rPr>
        <w:color w:val="3370ff"/>
      </w:rPr>
    </w:lvl>
  </w:abstractNum>
  <w:abstractNum w:abstractNumId="368026">
    <w:lvl>
      <w:numFmt w:val="bullet"/>
      <w:suff w:val="tab"/>
      <w:lvlText w:val="•"/>
      <w:rPr>
        <w:color w:val="3370ff"/>
      </w:rPr>
    </w:lvl>
  </w:abstractNum>
  <w:abstractNum w:abstractNumId="368027">
    <w:lvl>
      <w:numFmt w:val="bullet"/>
      <w:suff w:val="tab"/>
      <w:lvlText w:val="•"/>
      <w:rPr>
        <w:color w:val="3370ff"/>
      </w:rPr>
    </w:lvl>
  </w:abstractNum>
  <w:abstractNum w:abstractNumId="368028">
    <w:lvl>
      <w:numFmt w:val="bullet"/>
      <w:suff w:val="tab"/>
      <w:lvlText w:val="•"/>
      <w:rPr>
        <w:color w:val="3370ff"/>
      </w:rPr>
    </w:lvl>
  </w:abstractNum>
  <w:abstractNum w:abstractNumId="368029">
    <w:lvl>
      <w:numFmt w:val="bullet"/>
      <w:suff w:val="tab"/>
      <w:lvlText w:val="•"/>
      <w:rPr>
        <w:color w:val="3370ff"/>
      </w:rPr>
    </w:lvl>
  </w:abstractNum>
  <w:abstractNum w:abstractNumId="368030">
    <w:lvl>
      <w:numFmt w:val="bullet"/>
      <w:suff w:val="tab"/>
      <w:lvlText w:val="•"/>
      <w:rPr>
        <w:color w:val="3370ff"/>
      </w:rPr>
    </w:lvl>
  </w:abstractNum>
  <w:abstractNum w:abstractNumId="368031">
    <w:lvl>
      <w:numFmt w:val="bullet"/>
      <w:suff w:val="tab"/>
      <w:lvlText w:val="•"/>
      <w:rPr>
        <w:color w:val="3370ff"/>
      </w:rPr>
    </w:lvl>
  </w:abstractNum>
  <w:abstractNum w:abstractNumId="368032">
    <w:lvl>
      <w:numFmt w:val="bullet"/>
      <w:suff w:val="tab"/>
      <w:lvlText w:val="•"/>
      <w:rPr>
        <w:color w:val="3370ff"/>
      </w:rPr>
    </w:lvl>
  </w:abstractNum>
  <w:abstractNum w:abstractNumId="368033">
    <w:lvl>
      <w:numFmt w:val="bullet"/>
      <w:suff w:val="tab"/>
      <w:lvlText w:val="•"/>
      <w:rPr>
        <w:color w:val="3370ff"/>
      </w:rPr>
    </w:lvl>
  </w:abstractNum>
  <w:abstractNum w:abstractNumId="368034">
    <w:lvl>
      <w:numFmt w:val="bullet"/>
      <w:suff w:val="tab"/>
      <w:lvlText w:val="•"/>
      <w:rPr>
        <w:color w:val="3370ff"/>
      </w:rPr>
    </w:lvl>
  </w:abstractNum>
  <w:abstractNum w:abstractNumId="368035">
    <w:lvl>
      <w:numFmt w:val="bullet"/>
      <w:suff w:val="tab"/>
      <w:lvlText w:val="•"/>
      <w:rPr>
        <w:color w:val="3370ff"/>
      </w:rPr>
    </w:lvl>
  </w:abstractNum>
  <w:abstractNum w:abstractNumId="368036">
    <w:lvl>
      <w:numFmt w:val="bullet"/>
      <w:suff w:val="tab"/>
      <w:lvlText w:val="•"/>
      <w:rPr>
        <w:color w:val="3370ff"/>
      </w:rPr>
    </w:lvl>
  </w:abstractNum>
  <w:abstractNum w:abstractNumId="368037">
    <w:lvl>
      <w:numFmt w:val="bullet"/>
      <w:suff w:val="tab"/>
      <w:lvlText w:val="•"/>
      <w:rPr>
        <w:color w:val="3370ff"/>
      </w:rPr>
    </w:lvl>
  </w:abstractNum>
  <w:abstractNum w:abstractNumId="368038">
    <w:lvl>
      <w:numFmt w:val="bullet"/>
      <w:suff w:val="tab"/>
      <w:lvlText w:val="•"/>
      <w:rPr>
        <w:color w:val="3370ff"/>
      </w:rPr>
    </w:lvl>
  </w:abstractNum>
  <w:abstractNum w:abstractNumId="368039">
    <w:lvl>
      <w:numFmt w:val="bullet"/>
      <w:suff w:val="tab"/>
      <w:lvlText w:val="•"/>
      <w:rPr>
        <w:color w:val="3370ff"/>
      </w:rPr>
    </w:lvl>
  </w:abstractNum>
  <w:abstractNum w:abstractNumId="368040">
    <w:lvl>
      <w:numFmt w:val="bullet"/>
      <w:suff w:val="tab"/>
      <w:lvlText w:val="•"/>
      <w:rPr>
        <w:color w:val="3370ff"/>
      </w:rPr>
    </w:lvl>
  </w:abstractNum>
  <w:abstractNum w:abstractNumId="368041">
    <w:lvl>
      <w:numFmt w:val="bullet"/>
      <w:suff w:val="tab"/>
      <w:lvlText w:val="•"/>
      <w:rPr>
        <w:color w:val="3370ff"/>
      </w:rPr>
    </w:lvl>
  </w:abstractNum>
  <w:abstractNum w:abstractNumId="368042">
    <w:lvl>
      <w:numFmt w:val="bullet"/>
      <w:suff w:val="tab"/>
      <w:lvlText w:val="•"/>
      <w:rPr>
        <w:color w:val="3370ff"/>
      </w:rPr>
    </w:lvl>
  </w:abstractNum>
  <w:abstractNum w:abstractNumId="368043">
    <w:lvl>
      <w:numFmt w:val="bullet"/>
      <w:suff w:val="tab"/>
      <w:lvlText w:val="•"/>
      <w:rPr>
        <w:color w:val="3370ff"/>
      </w:rPr>
    </w:lvl>
  </w:abstractNum>
  <w:abstractNum w:abstractNumId="368044">
    <w:lvl>
      <w:numFmt w:val="bullet"/>
      <w:suff w:val="tab"/>
      <w:lvlText w:val="•"/>
      <w:rPr>
        <w:color w:val="3370ff"/>
      </w:rPr>
    </w:lvl>
  </w:abstractNum>
  <w:abstractNum w:abstractNumId="368045">
    <w:lvl>
      <w:numFmt w:val="bullet"/>
      <w:suff w:val="tab"/>
      <w:lvlText w:val="•"/>
      <w:rPr>
        <w:color w:val="3370ff"/>
      </w:rPr>
    </w:lvl>
  </w:abstractNum>
  <w:abstractNum w:abstractNumId="368046">
    <w:lvl>
      <w:numFmt w:val="bullet"/>
      <w:suff w:val="tab"/>
      <w:lvlText w:val="•"/>
      <w:rPr>
        <w:color w:val="3370ff"/>
      </w:rPr>
    </w:lvl>
  </w:abstractNum>
  <w:abstractNum w:abstractNumId="368047">
    <w:lvl>
      <w:numFmt w:val="bullet"/>
      <w:suff w:val="tab"/>
      <w:lvlText w:val="•"/>
      <w:rPr>
        <w:color w:val="3370ff"/>
      </w:rPr>
    </w:lvl>
  </w:abstractNum>
  <w:abstractNum w:abstractNumId="368048">
    <w:lvl>
      <w:numFmt w:val="bullet"/>
      <w:suff w:val="tab"/>
      <w:lvlText w:val="•"/>
      <w:rPr>
        <w:color w:val="3370ff"/>
      </w:rPr>
    </w:lvl>
  </w:abstractNum>
  <w:abstractNum w:abstractNumId="368049">
    <w:lvl>
      <w:numFmt w:val="bullet"/>
      <w:suff w:val="tab"/>
      <w:lvlText w:val="•"/>
      <w:rPr>
        <w:color w:val="3370ff"/>
      </w:rPr>
    </w:lvl>
  </w:abstractNum>
  <w:abstractNum w:abstractNumId="368050">
    <w:lvl>
      <w:numFmt w:val="bullet"/>
      <w:suff w:val="tab"/>
      <w:lvlText w:val="•"/>
      <w:rPr>
        <w:color w:val="3370ff"/>
      </w:rPr>
    </w:lvl>
  </w:abstractNum>
  <w:abstractNum w:abstractNumId="368051">
    <w:lvl>
      <w:numFmt w:val="bullet"/>
      <w:suff w:val="tab"/>
      <w:lvlText w:val="•"/>
      <w:rPr>
        <w:color w:val="3370ff"/>
      </w:rPr>
    </w:lvl>
  </w:abstractNum>
  <w:abstractNum w:abstractNumId="368052">
    <w:lvl>
      <w:numFmt w:val="bullet"/>
      <w:suff w:val="tab"/>
      <w:lvlText w:val="•"/>
      <w:rPr>
        <w:color w:val="3370ff"/>
      </w:rPr>
    </w:lvl>
  </w:abstractNum>
  <w:abstractNum w:abstractNumId="368053">
    <w:lvl>
      <w:numFmt w:val="bullet"/>
      <w:suff w:val="tab"/>
      <w:lvlText w:val="•"/>
      <w:rPr>
        <w:color w:val="3370ff"/>
      </w:rPr>
    </w:lvl>
  </w:abstractNum>
  <w:abstractNum w:abstractNumId="368054">
    <w:lvl>
      <w:numFmt w:val="bullet"/>
      <w:suff w:val="tab"/>
      <w:lvlText w:val="•"/>
      <w:rPr>
        <w:color w:val="3370ff"/>
      </w:rPr>
    </w:lvl>
  </w:abstractNum>
  <w:abstractNum w:abstractNumId="368055">
    <w:lvl>
      <w:numFmt w:val="bullet"/>
      <w:suff w:val="tab"/>
      <w:lvlText w:val="•"/>
      <w:rPr>
        <w:color w:val="3370ff"/>
      </w:rPr>
    </w:lvl>
  </w:abstractNum>
  <w:abstractNum w:abstractNumId="368056">
    <w:lvl>
      <w:numFmt w:val="bullet"/>
      <w:suff w:val="tab"/>
      <w:lvlText w:val="•"/>
      <w:rPr>
        <w:color w:val="3370ff"/>
      </w:rPr>
    </w:lvl>
  </w:abstractNum>
  <w:num w:numId="1">
    <w:abstractNumId w:val="367919"/>
  </w:num>
  <w:num w:numId="2">
    <w:abstractNumId w:val="367920"/>
  </w:num>
  <w:num w:numId="3">
    <w:abstractNumId w:val="367921"/>
  </w:num>
  <w:num w:numId="4">
    <w:abstractNumId w:val="367922"/>
  </w:num>
  <w:num w:numId="5">
    <w:abstractNumId w:val="367923"/>
  </w:num>
  <w:num w:numId="6">
    <w:abstractNumId w:val="367924"/>
  </w:num>
  <w:num w:numId="7">
    <w:abstractNumId w:val="367925"/>
  </w:num>
  <w:num w:numId="8">
    <w:abstractNumId w:val="367926"/>
  </w:num>
  <w:num w:numId="9">
    <w:abstractNumId w:val="367927"/>
  </w:num>
  <w:num w:numId="10">
    <w:abstractNumId w:val="367928"/>
  </w:num>
  <w:num w:numId="11">
    <w:abstractNumId w:val="367929"/>
  </w:num>
  <w:num w:numId="12">
    <w:abstractNumId w:val="367930"/>
  </w:num>
  <w:num w:numId="13">
    <w:abstractNumId w:val="367931"/>
  </w:num>
  <w:num w:numId="14">
    <w:abstractNumId w:val="367932"/>
  </w:num>
  <w:num w:numId="15">
    <w:abstractNumId w:val="367933"/>
  </w:num>
  <w:num w:numId="16">
    <w:abstractNumId w:val="367934"/>
  </w:num>
  <w:num w:numId="17">
    <w:abstractNumId w:val="367935"/>
  </w:num>
  <w:num w:numId="18">
    <w:abstractNumId w:val="367936"/>
  </w:num>
  <w:num w:numId="19">
    <w:abstractNumId w:val="367937"/>
  </w:num>
  <w:num w:numId="20">
    <w:abstractNumId w:val="367938"/>
  </w:num>
  <w:num w:numId="21">
    <w:abstractNumId w:val="367939"/>
  </w:num>
  <w:num w:numId="22">
    <w:abstractNumId w:val="367940"/>
  </w:num>
  <w:num w:numId="23">
    <w:abstractNumId w:val="367941"/>
  </w:num>
  <w:num w:numId="24">
    <w:abstractNumId w:val="367942"/>
  </w:num>
  <w:num w:numId="25">
    <w:abstractNumId w:val="367943"/>
  </w:num>
  <w:num w:numId="26">
    <w:abstractNumId w:val="367944"/>
  </w:num>
  <w:num w:numId="27">
    <w:abstractNumId w:val="367945"/>
  </w:num>
  <w:num w:numId="28">
    <w:abstractNumId w:val="367946"/>
  </w:num>
  <w:num w:numId="29">
    <w:abstractNumId w:val="367947"/>
  </w:num>
  <w:num w:numId="30">
    <w:abstractNumId w:val="367948"/>
  </w:num>
  <w:num w:numId="31">
    <w:abstractNumId w:val="367949"/>
  </w:num>
  <w:num w:numId="32">
    <w:abstractNumId w:val="367950"/>
  </w:num>
  <w:num w:numId="33">
    <w:abstractNumId w:val="367951"/>
  </w:num>
  <w:num w:numId="34">
    <w:abstractNumId w:val="367952"/>
  </w:num>
  <w:num w:numId="35">
    <w:abstractNumId w:val="367953"/>
  </w:num>
  <w:num w:numId="36">
    <w:abstractNumId w:val="367954"/>
  </w:num>
  <w:num w:numId="37">
    <w:abstractNumId w:val="367955"/>
  </w:num>
  <w:num w:numId="38">
    <w:abstractNumId w:val="367956"/>
  </w:num>
  <w:num w:numId="39">
    <w:abstractNumId w:val="367957"/>
  </w:num>
  <w:num w:numId="40">
    <w:abstractNumId w:val="367958"/>
  </w:num>
  <w:num w:numId="41">
    <w:abstractNumId w:val="367959"/>
  </w:num>
  <w:num w:numId="42">
    <w:abstractNumId w:val="367960"/>
  </w:num>
  <w:num w:numId="43">
    <w:abstractNumId w:val="367961"/>
  </w:num>
  <w:num w:numId="44">
    <w:abstractNumId w:val="367962"/>
  </w:num>
  <w:num w:numId="45">
    <w:abstractNumId w:val="367963"/>
  </w:num>
  <w:num w:numId="46">
    <w:abstractNumId w:val="367964"/>
  </w:num>
  <w:num w:numId="47">
    <w:abstractNumId w:val="367965"/>
  </w:num>
  <w:num w:numId="48">
    <w:abstractNumId w:val="367966"/>
  </w:num>
  <w:num w:numId="49">
    <w:abstractNumId w:val="367967"/>
  </w:num>
  <w:num w:numId="50">
    <w:abstractNumId w:val="367968"/>
  </w:num>
  <w:num w:numId="51">
    <w:abstractNumId w:val="367969"/>
  </w:num>
  <w:num w:numId="52">
    <w:abstractNumId w:val="367970"/>
  </w:num>
  <w:num w:numId="53">
    <w:abstractNumId w:val="367971"/>
  </w:num>
  <w:num w:numId="54">
    <w:abstractNumId w:val="367972"/>
  </w:num>
  <w:num w:numId="55">
    <w:abstractNumId w:val="367973"/>
  </w:num>
  <w:num w:numId="56">
    <w:abstractNumId w:val="367974"/>
  </w:num>
  <w:num w:numId="57">
    <w:abstractNumId w:val="367975"/>
  </w:num>
  <w:num w:numId="58">
    <w:abstractNumId w:val="367976"/>
  </w:num>
  <w:num w:numId="59">
    <w:abstractNumId w:val="367977"/>
  </w:num>
  <w:num w:numId="60">
    <w:abstractNumId w:val="367978"/>
  </w:num>
  <w:num w:numId="61">
    <w:abstractNumId w:val="367979"/>
  </w:num>
  <w:num w:numId="62">
    <w:abstractNumId w:val="367980"/>
  </w:num>
  <w:num w:numId="63">
    <w:abstractNumId w:val="367981"/>
  </w:num>
  <w:num w:numId="64">
    <w:abstractNumId w:val="367982"/>
  </w:num>
  <w:num w:numId="65">
    <w:abstractNumId w:val="367983"/>
  </w:num>
  <w:num w:numId="66">
    <w:abstractNumId w:val="367984"/>
  </w:num>
  <w:num w:numId="67">
    <w:abstractNumId w:val="367985"/>
  </w:num>
  <w:num w:numId="68">
    <w:abstractNumId w:val="367986"/>
  </w:num>
  <w:num w:numId="69">
    <w:abstractNumId w:val="367987"/>
  </w:num>
  <w:num w:numId="70">
    <w:abstractNumId w:val="367988"/>
  </w:num>
  <w:num w:numId="71">
    <w:abstractNumId w:val="367989"/>
  </w:num>
  <w:num w:numId="72">
    <w:abstractNumId w:val="367990"/>
  </w:num>
  <w:num w:numId="73">
    <w:abstractNumId w:val="367991"/>
  </w:num>
  <w:num w:numId="74">
    <w:abstractNumId w:val="367992"/>
  </w:num>
  <w:num w:numId="75">
    <w:abstractNumId w:val="367993"/>
  </w:num>
  <w:num w:numId="76">
    <w:abstractNumId w:val="367994"/>
  </w:num>
  <w:num w:numId="77">
    <w:abstractNumId w:val="367995"/>
  </w:num>
  <w:num w:numId="78">
    <w:abstractNumId w:val="367996"/>
  </w:num>
  <w:num w:numId="79">
    <w:abstractNumId w:val="367997"/>
  </w:num>
  <w:num w:numId="80">
    <w:abstractNumId w:val="367998"/>
  </w:num>
  <w:num w:numId="81">
    <w:abstractNumId w:val="367999"/>
  </w:num>
  <w:num w:numId="82">
    <w:abstractNumId w:val="368000"/>
  </w:num>
  <w:num w:numId="83">
    <w:abstractNumId w:val="368001"/>
  </w:num>
  <w:num w:numId="84">
    <w:abstractNumId w:val="368002"/>
  </w:num>
  <w:num w:numId="85">
    <w:abstractNumId w:val="368003"/>
  </w:num>
  <w:num w:numId="86">
    <w:abstractNumId w:val="368004"/>
  </w:num>
  <w:num w:numId="87">
    <w:abstractNumId w:val="368005"/>
  </w:num>
  <w:num w:numId="88">
    <w:abstractNumId w:val="368006"/>
  </w:num>
  <w:num w:numId="89">
    <w:abstractNumId w:val="368007"/>
  </w:num>
  <w:num w:numId="90">
    <w:abstractNumId w:val="368008"/>
  </w:num>
  <w:num w:numId="91">
    <w:abstractNumId w:val="368009"/>
  </w:num>
  <w:num w:numId="92">
    <w:abstractNumId w:val="368010"/>
  </w:num>
  <w:num w:numId="93">
    <w:abstractNumId w:val="368011"/>
  </w:num>
  <w:num w:numId="94">
    <w:abstractNumId w:val="368012"/>
  </w:num>
  <w:num w:numId="95">
    <w:abstractNumId w:val="368013"/>
  </w:num>
  <w:num w:numId="96">
    <w:abstractNumId w:val="368014"/>
  </w:num>
  <w:num w:numId="97">
    <w:abstractNumId w:val="368015"/>
  </w:num>
  <w:num w:numId="98">
    <w:abstractNumId w:val="368016"/>
  </w:num>
  <w:num w:numId="99">
    <w:abstractNumId w:val="368017"/>
  </w:num>
  <w:num w:numId="100">
    <w:abstractNumId w:val="368018"/>
  </w:num>
  <w:num w:numId="101">
    <w:abstractNumId w:val="368019"/>
  </w:num>
  <w:num w:numId="102">
    <w:abstractNumId w:val="368020"/>
  </w:num>
  <w:num w:numId="103">
    <w:abstractNumId w:val="368021"/>
  </w:num>
  <w:num w:numId="104">
    <w:abstractNumId w:val="368022"/>
  </w:num>
  <w:num w:numId="105">
    <w:abstractNumId w:val="368023"/>
  </w:num>
  <w:num w:numId="106">
    <w:abstractNumId w:val="368024"/>
  </w:num>
  <w:num w:numId="107">
    <w:abstractNumId w:val="368025"/>
  </w:num>
  <w:num w:numId="108">
    <w:abstractNumId w:val="368026"/>
  </w:num>
  <w:num w:numId="109">
    <w:abstractNumId w:val="368027"/>
  </w:num>
  <w:num w:numId="110">
    <w:abstractNumId w:val="368028"/>
  </w:num>
  <w:num w:numId="111">
    <w:abstractNumId w:val="368029"/>
  </w:num>
  <w:num w:numId="112">
    <w:abstractNumId w:val="368030"/>
  </w:num>
  <w:num w:numId="113">
    <w:abstractNumId w:val="368031"/>
  </w:num>
  <w:num w:numId="114">
    <w:abstractNumId w:val="368032"/>
  </w:num>
  <w:num w:numId="115">
    <w:abstractNumId w:val="368033"/>
  </w:num>
  <w:num w:numId="116">
    <w:abstractNumId w:val="368034"/>
  </w:num>
  <w:num w:numId="117">
    <w:abstractNumId w:val="368035"/>
  </w:num>
  <w:num w:numId="118">
    <w:abstractNumId w:val="368036"/>
  </w:num>
  <w:num w:numId="119">
    <w:abstractNumId w:val="368037"/>
  </w:num>
  <w:num w:numId="120">
    <w:abstractNumId w:val="368038"/>
  </w:num>
  <w:num w:numId="121">
    <w:abstractNumId w:val="368039"/>
  </w:num>
  <w:num w:numId="122">
    <w:abstractNumId w:val="368040"/>
  </w:num>
  <w:num w:numId="123">
    <w:abstractNumId w:val="368041"/>
  </w:num>
  <w:num w:numId="124">
    <w:abstractNumId w:val="368042"/>
  </w:num>
  <w:num w:numId="125">
    <w:abstractNumId w:val="368043"/>
  </w:num>
  <w:num w:numId="126">
    <w:abstractNumId w:val="368044"/>
  </w:num>
  <w:num w:numId="127">
    <w:abstractNumId w:val="368045"/>
  </w:num>
  <w:num w:numId="128">
    <w:abstractNumId w:val="368046"/>
  </w:num>
  <w:num w:numId="129">
    <w:abstractNumId w:val="368047"/>
  </w:num>
  <w:num w:numId="130">
    <w:abstractNumId w:val="368048"/>
  </w:num>
  <w:num w:numId="131">
    <w:abstractNumId w:val="368049"/>
  </w:num>
  <w:num w:numId="132">
    <w:abstractNumId w:val="368050"/>
  </w:num>
  <w:num w:numId="133">
    <w:abstractNumId w:val="368051"/>
  </w:num>
  <w:num w:numId="134">
    <w:abstractNumId w:val="368052"/>
  </w:num>
  <w:num w:numId="135">
    <w:abstractNumId w:val="368053"/>
  </w:num>
  <w:num w:numId="136">
    <w:abstractNumId w:val="368054"/>
  </w:num>
  <w:num w:numId="137">
    <w:abstractNumId w:val="368055"/>
  </w:num>
  <w:num w:numId="138">
    <w:abstractNumId w:val="36805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2026-08-06T17:41:52Z</dcterms:created>
  <dc:creator>Apache POI</dc:creator>
</cp:coreProperties>
</file>