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11/2/2026 -Holsen Compliance Certification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Meeting summary link : </w:t>
      </w:r>
      <w:r>
        <w:rPr>
          <w:rFonts w:eastAsia="等线" w:ascii="Arial" w:cs="Arial" w:hAnsi="Arial"/>
          <w:sz w:val="22"/>
        </w:rPr>
        <w:t>https://app.fireflies.ai/view/Holsen-MH-C1-C3-Discussion::01KH37DXE08C0SHYXHJMQADBPS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 Certificates: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Perpetual manufacturer exemptions,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valid until superseded,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ease compliance with no quantity tracking needed.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C3 Certificates: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Single-order,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quantity-based exemptions,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require POs for validation,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maintain strict inventory traceability.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Import on behalf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A57 Certificates: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Regulatory and reporting complexities for trader-to-LMW sales;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currently not in use but understood.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Inventory Control:</w:t>
      </w:r>
      <w:r>
        <w:rPr>
          <w:rFonts w:eastAsia="等线" w:ascii="Arial" w:cs="Arial" w:hAnsi="Arial"/>
          <w:sz w:val="22"/>
        </w:rPr>
        <w:t xml:space="preserve"> Bulk imports tracked by batches ensure only authorized sales to comply with exemption certificates.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 Transition:</w:t>
      </w:r>
      <w:r>
        <w:rPr>
          <w:rFonts w:eastAsia="等线" w:ascii="Arial" w:cs="Arial" w:hAnsi="Arial"/>
          <w:sz w:val="22"/>
        </w:rPr>
        <w:t xml:space="preserve"> Full go-live by August 1, with testing starting in May; focus on data migration and process integration.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Needs:</w:t>
      </w:r>
      <w:r>
        <w:rPr>
          <w:rFonts w:eastAsia="等线" w:ascii="Arial" w:cs="Arial" w:hAnsi="Arial"/>
          <w:sz w:val="22"/>
        </w:rPr>
        <w:t xml:space="preserve"> Improve efficiency by automating document generation and enhancing traceability through system integrations.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Tax Exemption Document Handling and Compliance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meeting clarified the distinct roles and handling processes for </w:t>
      </w:r>
      <w:r>
        <w:rPr>
          <w:rFonts w:eastAsia="等线" w:ascii="Arial" w:cs="Arial" w:hAnsi="Arial"/>
          <w:b w:val="true"/>
          <w:sz w:val="22"/>
        </w:rPr>
        <w:t>C1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C3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等线" w:ascii="Arial" w:cs="Arial" w:hAnsi="Arial"/>
          <w:b w:val="true"/>
          <w:sz w:val="22"/>
        </w:rPr>
        <w:t>A57</w:t>
      </w:r>
      <w:r>
        <w:rPr>
          <w:rFonts w:eastAsia="等线" w:ascii="Arial" w:cs="Arial" w:hAnsi="Arial"/>
          <w:sz w:val="22"/>
        </w:rPr>
        <w:t xml:space="preserve"> tax exemption certificates to ensure compliance and audit readiness.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C1 certificates</w:t>
      </w:r>
      <w:r>
        <w:rPr>
          <w:rFonts w:eastAsia="等线" w:ascii="Arial" w:cs="Arial" w:hAnsi="Arial"/>
          <w:sz w:val="22"/>
        </w:rPr>
        <w:t xml:space="preserve"> are perpetual manufacturer tax exemptions tied to the company, valid until superseded, with no quantity restrictions and tracked as attachments for relevant SKUs (05:30)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Ivan Chiang</w:t>
      </w:r>
      <w:r>
        <w:rPr>
          <w:rFonts w:eastAsia="等线" w:ascii="Arial" w:cs="Arial" w:hAnsi="Arial"/>
          <w:sz w:val="22"/>
        </w:rPr>
        <w:t xml:space="preserve"> confirmed C1 is mostly for manufacturers buying directly and used repeatedly once validated.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Chin</w:t>
      </w:r>
      <w:r>
        <w:rPr>
          <w:rFonts w:eastAsia="等线" w:ascii="Arial" w:cs="Arial" w:hAnsi="Arial"/>
          <w:sz w:val="22"/>
        </w:rPr>
        <w:t xml:space="preserve"> explained clients manage quantity limits themselves; traders rely on C1 as proof for tax-exempt sales.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C1 certificates are recorded at the order or item level in invoice remarks to maintain audit trails.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reduces operational complexity since C1 does not require per-order validation or quantity tracking.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C3 certificates</w:t>
      </w:r>
      <w:r>
        <w:rPr>
          <w:rFonts w:eastAsia="等线" w:ascii="Arial" w:cs="Arial" w:hAnsi="Arial"/>
          <w:sz w:val="22"/>
        </w:rPr>
        <w:t xml:space="preserve"> are single-order, quantity-based exemptions where the trader imports on behalf of the manufacturer, requiring PO and appointment letters for approval (07:35)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Chin</w:t>
      </w:r>
      <w:r>
        <w:rPr>
          <w:rFonts w:eastAsia="等线" w:ascii="Arial" w:cs="Arial" w:hAnsi="Arial"/>
          <w:sz w:val="22"/>
        </w:rPr>
        <w:t xml:space="preserve"> detailed the approval process via the SS</w:t>
      </w:r>
      <w:r>
        <w:rPr>
          <w:rFonts w:eastAsia="等线" w:ascii="Arial" w:cs="Arial" w:hAnsi="Arial"/>
          <w:sz w:val="22"/>
        </w:rPr>
        <w:t>T</w:t>
      </w:r>
      <w:r>
        <w:rPr>
          <w:rFonts w:eastAsia="等线" w:ascii="Arial" w:cs="Arial" w:hAnsi="Arial"/>
          <w:sz w:val="22"/>
        </w:rPr>
        <w:t xml:space="preserve"> portal, where quantities in the PO and system must match before generating C3.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Upon shipment arrival, bulk imports are split into batches corresponding to each client’s C3 allocation, maintaining strict traceability.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Inventory and shipment batches are labeled by manufacturer lot number for accurate allocation and audit.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Ivan Chiang</w:t>
      </w:r>
      <w:r>
        <w:rPr>
          <w:rFonts w:eastAsia="等线" w:ascii="Arial" w:cs="Arial" w:hAnsi="Arial"/>
          <w:sz w:val="22"/>
        </w:rPr>
        <w:t xml:space="preserve"> noted that fulfillment follows strict order-based stock usage, with manual coordination to adjust delivery schedules when multiple orders exist for the same item.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A57 certificates</w:t>
      </w:r>
      <w:r>
        <w:rPr>
          <w:rFonts w:eastAsia="等线" w:ascii="Arial" w:cs="Arial" w:hAnsi="Arial"/>
          <w:sz w:val="22"/>
        </w:rPr>
        <w:t xml:space="preserve"> apply to traders selling from registered manufacturers to LMW clients, are quantity and value-specific, and require monthly SST reporting (20:10)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Currently not used by the client but understood to be similar to C3 in restrictions and documentation.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certificate type reflects more complex regulatory needs for trader-to-LMW transactions.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Documentation tied to tax exemptions includes: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Purchase Orders (PO)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Appointment Letters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K1 Forms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Certificates of Analysis (COA)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Supply Invoices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Packing Lists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These documents are linked to batch or stock entries to maintain a complete transaction trail.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system allows attaching these documents to batches for audit and compliance.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Special forms, such as the Poison Sign Order (PSO), are currently generated manually.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Automating PSO generation could reduce manual workload and improve regulatory compliance.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Inventory and Batch Tracking for Compliance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Inventory management is tightly controlled to ensure tax-exempt goods are allocated and sold only to authorized clients as per exemption certificates.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Bulk imports (e.g., </w:t>
      </w:r>
      <w:r>
        <w:rPr>
          <w:rFonts w:eastAsia="等线" w:ascii="Arial" w:cs="Arial" w:hAnsi="Arial"/>
          <w:b w:val="true"/>
          <w:sz w:val="22"/>
        </w:rPr>
        <w:t>20 metric tons</w:t>
      </w:r>
      <w:r>
        <w:rPr>
          <w:rFonts w:eastAsia="等线" w:ascii="Arial" w:cs="Arial" w:hAnsi="Arial"/>
          <w:sz w:val="22"/>
        </w:rPr>
        <w:t>) are split into multiple batches by lot number to correspond with clients’ exemptions, ensuring no unauthorized sales (13:10)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Batches are labeled and tracked in the warehouse, facilitating audit verification of stock movements.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Stock ledgers and Excel forms (Jados C02) are updated every </w:t>
      </w:r>
      <w:r>
        <w:rPr>
          <w:rFonts w:eastAsia="等线" w:ascii="Arial" w:cs="Arial" w:hAnsi="Arial"/>
          <w:b w:val="true"/>
          <w:sz w:val="22"/>
        </w:rPr>
        <w:t>three months</w:t>
      </w:r>
      <w:r>
        <w:rPr>
          <w:rFonts w:eastAsia="等线" w:ascii="Arial" w:cs="Arial" w:hAnsi="Arial"/>
          <w:sz w:val="22"/>
        </w:rPr>
        <w:t xml:space="preserve"> to reconcile incoming and outgoing exempt goods.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numbers are created either before stock arrival or upon receipt, with current practice favoring creation post-arrival to assign batches to customers (33:30)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Batch-level traceability is maintained in the system, linked across sales orders (SO), delivery notes (DN), and invoices (SI).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Dispatch teams are responsible for ensuring correct customer allocation of exempt stock.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coordination between sales and fulfillment teams handles exceptions where clients have multiple orders with staggered delivery schedules (24:00)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prevents mixing stock allocations across orders and preserves compliance with quantity restrictions tied to exemption certificates.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Document and Workflow Integration with External Systems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transition from </w:t>
      </w:r>
      <w:r>
        <w:rPr>
          <w:rFonts w:eastAsia="等线" w:ascii="Arial" w:cs="Arial" w:hAnsi="Arial"/>
          <w:b w:val="true"/>
          <w:sz w:val="22"/>
        </w:rPr>
        <w:t>UBS</w:t>
      </w:r>
      <w:r>
        <w:rPr>
          <w:rFonts w:eastAsia="等线" w:ascii="Arial" w:cs="Arial" w:hAnsi="Arial"/>
          <w:sz w:val="22"/>
        </w:rPr>
        <w:t xml:space="preserve"> to </w:t>
      </w:r>
      <w:r>
        <w:rPr>
          <w:rFonts w:eastAsia="等线" w:ascii="Arial" w:cs="Arial" w:hAnsi="Arial"/>
          <w:b w:val="true"/>
          <w:sz w:val="22"/>
        </w:rPr>
        <w:t>SQL</w:t>
      </w:r>
      <w:r>
        <w:rPr>
          <w:rFonts w:eastAsia="等线" w:ascii="Arial" w:cs="Arial" w:hAnsi="Arial"/>
          <w:sz w:val="22"/>
        </w:rPr>
        <w:t xml:space="preserve"> ERP systems drives workflow and data integration considerations, with tax exemption tracking central to order and inventory management.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Current workflow uses </w:t>
      </w:r>
      <w:r>
        <w:rPr>
          <w:rFonts w:eastAsia="等线" w:ascii="Arial" w:cs="Arial" w:hAnsi="Arial"/>
          <w:b w:val="true"/>
          <w:sz w:val="22"/>
        </w:rPr>
        <w:t>Maia</w:t>
      </w:r>
      <w:r>
        <w:rPr>
          <w:rFonts w:eastAsia="等线" w:ascii="Arial" w:cs="Arial" w:hAnsi="Arial"/>
          <w:sz w:val="22"/>
        </w:rPr>
        <w:t xml:space="preserve"> for order and inventory management, while invoices and delivery notes are generated in UBS (51:30)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MAIA will block creation of new customers or SKUs not existing in UBS to avoid data mismatch.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Export formats from UBS will be needed to map customers, SKUs, and transactions accurately.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client plans a full transition to SQL by </w:t>
      </w:r>
      <w:r>
        <w:rPr>
          <w:rFonts w:eastAsia="等线" w:ascii="Arial" w:cs="Arial" w:hAnsi="Arial"/>
          <w:b w:val="true"/>
          <w:sz w:val="22"/>
        </w:rPr>
        <w:t>August 1</w:t>
      </w:r>
      <w:r>
        <w:rPr>
          <w:rFonts w:eastAsia="等线" w:ascii="Arial" w:cs="Arial" w:hAnsi="Arial"/>
          <w:sz w:val="22"/>
        </w:rPr>
        <w:t xml:space="preserve">, aligning with their financial year, with a recommended testing period starting in </w:t>
      </w:r>
      <w:r>
        <w:rPr>
          <w:rFonts w:eastAsia="等线" w:ascii="Arial" w:cs="Arial" w:hAnsi="Arial"/>
          <w:b w:val="true"/>
          <w:sz w:val="22"/>
        </w:rPr>
        <w:t>May</w:t>
      </w:r>
      <w:r>
        <w:rPr>
          <w:rFonts w:eastAsia="等线" w:ascii="Arial" w:cs="Arial" w:hAnsi="Arial"/>
          <w:sz w:val="22"/>
        </w:rPr>
        <w:t xml:space="preserve"> to allow data cleanup and onboarding (22:20)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Parallel system use with UBS and SQL will be required during transition to ensure seamless operations.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Early engagement with SQL vendors is advised to manage data migration and integration complexities.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integration will require detailed understanding of UBS system setup restrictions, such as dropdown value limits on columns in CSV imports, to avoid fails during bulk uploads (54:30)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Ivan Chiang emphasized the need for exact customer and item naming consistency between UBS and MAIA to prevent mismatches.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Regular exports of inventory data and master data will be required for MAIA to maintain accurate stock visibility and sales order validation.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documents generated by UBS will be manually uploaded into MAIA to maintain order status tracking since MAIA’s invoice PDFs are not compliant e-invoices (09:50)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notes generated from MAIA will be used internally despite UBS’s official role for invoicing and delivery document issuance.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Document formatting differences exist, with UBS using carbon copy dot matrix prints and MAIA using A4 PDFs; transition to SQL will modernize this.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Product Handling and Regulatory Compliance for Hazardous Goods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handling of hazardous products, particularly poisons, requires additional documentation and compliance management integrated into operational workflows.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Poison-category SKUs require generation of a </w:t>
      </w:r>
      <w:r>
        <w:rPr>
          <w:rFonts w:eastAsia="等线" w:ascii="Arial" w:cs="Arial" w:hAnsi="Arial"/>
          <w:b w:val="true"/>
          <w:sz w:val="22"/>
        </w:rPr>
        <w:t>Poison Sign Order (PSO)</w:t>
      </w:r>
      <w:r>
        <w:rPr>
          <w:rFonts w:eastAsia="等线" w:ascii="Arial" w:cs="Arial" w:hAnsi="Arial"/>
          <w:sz w:val="22"/>
        </w:rPr>
        <w:t xml:space="preserve"> form for customer acknowledgment on delivery (42:30)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PSO is a standardized government-mandated document under the Pharmacy license B regulation, ensuring traceability of controlled substances.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Currently generated manually, the team expressed a desire to automate PSO generation within MAIA for efficiency and compliance (43:30).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 product handling details such as UN numbers, hazard classes, and weight-based handling requirements are less critical currently but may be included later for more sophisticated importers (49:00)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client outsources transport logistics, reducing their internal need to manage external labeling or cold chain requirements.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These requirements are primarily enforced by other agencies (e.g., JPJ) and are considered lower priority now.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SKU is categorized in the system as poison or non-poison to trigger appropriate documentation generation and compliance workflows on delivery (46:00)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helps ensure only authorized products generate PSO forms, reducing manual errors and audit risks.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System Enhancements and Future Automation Opportunities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Discussions identified several areas where system enhancements can simplify compliance, reduce manual work, and improve traceability.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Automating the generation of the </w:t>
      </w:r>
      <w:r>
        <w:rPr>
          <w:rFonts w:eastAsia="等线" w:ascii="Arial" w:cs="Arial" w:hAnsi="Arial"/>
          <w:b w:val="true"/>
          <w:sz w:val="22"/>
        </w:rPr>
        <w:t>Poison Sign Order</w:t>
      </w:r>
      <w:r>
        <w:rPr>
          <w:rFonts w:eastAsia="等线" w:ascii="Arial" w:cs="Arial" w:hAnsi="Arial"/>
          <w:sz w:val="22"/>
        </w:rPr>
        <w:t xml:space="preserve"> form tied to poison SKUs would reduce manual effort and speed up logistics processing (43:30)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aligns with regulatory requirements and improves record-keeping accuracy.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Attaching and extracting key data fields from important documents (e.g., K1 forms, COAs, supply invoices) can improve validation and audit readiness (38:30)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team requested sample documents to assess feasibility of automated data extraction and prioritize development.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Document tagging and field extraction can help enforce compliance without burdening staff.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Enforcing tax exemption references at the </w:t>
      </w:r>
      <w:r>
        <w:rPr>
          <w:rFonts w:eastAsia="等线" w:ascii="Arial" w:cs="Arial" w:hAnsi="Arial"/>
          <w:b w:val="true"/>
          <w:sz w:val="22"/>
        </w:rPr>
        <w:t>item level</w:t>
      </w:r>
      <w:r>
        <w:rPr>
          <w:rFonts w:eastAsia="等线" w:ascii="Arial" w:cs="Arial" w:hAnsi="Arial"/>
          <w:sz w:val="22"/>
        </w:rPr>
        <w:t xml:space="preserve"> in sales orders, invoices, and delivery notes was preferred to cover mixed orders with exempt and non-exempt items (30:00)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approach provides clearer audit trails and supports complex customer orders.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AI system could handle item-level exemption tracking to reduce manual workload.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and shipment tracking improvements, including linking exemption certificates, K1 forms, and stock entries, were discussed to enhance traceability and reporting (36:30)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Maintaining a full digital ledger of exempt goods supports smoother SST audits and regulatory compliance.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Current manual Excel forms could be replaced or augmented by system-generated reports.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Project Timelines and Next Steps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timeline and deliverable commitments were established for transitioning ERP systems and enabling full tax exemption compliance workflows.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client targets a </w:t>
      </w:r>
      <w:r>
        <w:rPr>
          <w:rFonts w:eastAsia="等线" w:ascii="Arial" w:cs="Arial" w:hAnsi="Arial"/>
          <w:b w:val="true"/>
          <w:sz w:val="22"/>
        </w:rPr>
        <w:t>full SQL ERP go-live on August 1</w:t>
      </w:r>
      <w:r>
        <w:rPr>
          <w:rFonts w:eastAsia="等线" w:ascii="Arial" w:cs="Arial" w:hAnsi="Arial"/>
          <w:sz w:val="22"/>
        </w:rPr>
        <w:t xml:space="preserve">, with </w:t>
      </w:r>
      <w:r>
        <w:rPr>
          <w:rFonts w:eastAsia="等线" w:ascii="Arial" w:cs="Arial" w:hAnsi="Arial"/>
          <w:b w:val="true"/>
          <w:sz w:val="22"/>
        </w:rPr>
        <w:t>testing and data onboarding starting by May</w:t>
      </w:r>
      <w:r>
        <w:rPr>
          <w:rFonts w:eastAsia="等线" w:ascii="Arial" w:cs="Arial" w:hAnsi="Arial"/>
          <w:sz w:val="22"/>
        </w:rPr>
        <w:t xml:space="preserve"> to allow for cleanup and integration validation (22:30)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phased approach aims to minimize operational disruption and ensure data accuracy.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team(Holsen) will provide </w:t>
      </w:r>
      <w:r>
        <w:rPr>
          <w:rFonts w:eastAsia="等线" w:ascii="Arial" w:cs="Arial" w:hAnsi="Arial"/>
          <w:b w:val="true"/>
          <w:sz w:val="22"/>
        </w:rPr>
        <w:t>raw export files of customers, SKUs, inventory, and transaction data from UBS by the next day</w:t>
      </w:r>
      <w:r>
        <w:rPr>
          <w:rFonts w:eastAsia="等线" w:ascii="Arial" w:cs="Arial" w:hAnsi="Arial"/>
          <w:sz w:val="22"/>
        </w:rPr>
        <w:t xml:space="preserve"> to enable format adaptation and data ingestion into MAIA (27:30)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Early receipt of these files will accelerate system preparation and reduce risks of mismatches.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will block creation of new customers and SKUs to enforce master data consistency with UBS during the transition (53:00)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prevents data duplication and errors during order exports.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invoice uploads from UBS into MAIA will continue until SQL fully replaces UBS for invoicing processes (09:50)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notes and other order documents will progressively migrate to MAIA and later SQL for streamlined workflows.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will circulate meeting minutes capturing all discussed points, decisions, and follow-ups for shared reference and accountability (27:50)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items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Chin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sample COA, K1, poison sign-off forms and other tax exemption documents for Minehive team to review and support extraction (38:30)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current UBS export files including customer, item master, stock, and inventory data to Minehive for MAIA integration adaptation (01:23:50)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Continue cleanup and alignment of item names in UBS to match master data (01:26:40)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Lab Team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updated delivery note and invoice templates and confirm printing formats required (01:15:50)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Lab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Engage SQL vendor ASAP for integration planning and confirm API options, especially Cloud API integration for smooth data exchange (01:20:20)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 link to all relevant tax exemption and poison sign off documents to Ivan’s team for ingestion and automation consideration (43:00)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Tam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double-checking of product site data and CNA discrepancies before uploading final stock data (01:27:00)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Holsen Lab &amp; Ivan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Coordinate on uploading and mapping the K1 and COA documents as tagged attachments in MAIA for batch stock entries (36:30)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893">
    <w:lvl>
      <w:numFmt w:val="bullet"/>
      <w:suff w:val="tab"/>
      <w:lvlText w:val="•"/>
      <w:rPr>
        <w:color w:val="3370ff"/>
      </w:rPr>
    </w:lvl>
  </w:abstractNum>
  <w:abstractNum w:abstractNumId="75894">
    <w:lvl>
      <w:start w:val="1"/>
      <w:numFmt w:val="lowerLetter"/>
      <w:suff w:val="tab"/>
      <w:lvlText w:val="%1."/>
      <w:rPr>
        <w:color w:val="3370ff"/>
      </w:rPr>
    </w:lvl>
  </w:abstractNum>
  <w:abstractNum w:abstractNumId="75895">
    <w:lvl>
      <w:start w:val="2"/>
      <w:numFmt w:val="lowerLetter"/>
      <w:suff w:val="tab"/>
      <w:lvlText w:val="%1."/>
      <w:rPr>
        <w:color w:val="3370ff"/>
      </w:rPr>
    </w:lvl>
  </w:abstractNum>
  <w:abstractNum w:abstractNumId="75896">
    <w:lvl>
      <w:start w:val="3"/>
      <w:numFmt w:val="lowerLetter"/>
      <w:suff w:val="tab"/>
      <w:lvlText w:val="%1."/>
      <w:rPr>
        <w:color w:val="3370ff"/>
      </w:rPr>
    </w:lvl>
  </w:abstractNum>
  <w:abstractNum w:abstractNumId="75897">
    <w:lvl>
      <w:numFmt w:val="bullet"/>
      <w:suff w:val="tab"/>
      <w:lvlText w:val="•"/>
      <w:rPr>
        <w:color w:val="3370ff"/>
      </w:rPr>
    </w:lvl>
  </w:abstractNum>
  <w:abstractNum w:abstractNumId="75898">
    <w:lvl>
      <w:start w:val="1"/>
      <w:numFmt w:val="lowerLetter"/>
      <w:suff w:val="tab"/>
      <w:lvlText w:val="%1."/>
      <w:rPr>
        <w:color w:val="3370ff"/>
      </w:rPr>
    </w:lvl>
  </w:abstractNum>
  <w:abstractNum w:abstractNumId="75899">
    <w:lvl>
      <w:start w:val="2"/>
      <w:numFmt w:val="lowerLetter"/>
      <w:suff w:val="tab"/>
      <w:lvlText w:val="%1."/>
      <w:rPr>
        <w:color w:val="3370ff"/>
      </w:rPr>
    </w:lvl>
  </w:abstractNum>
  <w:abstractNum w:abstractNumId="75900">
    <w:lvl>
      <w:start w:val="3"/>
      <w:numFmt w:val="lowerLetter"/>
      <w:suff w:val="tab"/>
      <w:lvlText w:val="%1."/>
      <w:rPr>
        <w:color w:val="3370ff"/>
      </w:rPr>
    </w:lvl>
  </w:abstractNum>
  <w:abstractNum w:abstractNumId="75901">
    <w:lvl>
      <w:start w:val="4"/>
      <w:numFmt w:val="lowerLetter"/>
      <w:suff w:val="tab"/>
      <w:lvlText w:val="%1."/>
      <w:rPr>
        <w:color w:val="3370ff"/>
      </w:rPr>
    </w:lvl>
  </w:abstractNum>
  <w:abstractNum w:abstractNumId="75902">
    <w:lvl>
      <w:start w:val="5"/>
      <w:numFmt w:val="lowerLetter"/>
      <w:suff w:val="tab"/>
      <w:lvlText w:val="%1."/>
      <w:rPr>
        <w:color w:val="3370ff"/>
      </w:rPr>
    </w:lvl>
  </w:abstractNum>
  <w:abstractNum w:abstractNumId="75903">
    <w:lvl>
      <w:numFmt w:val="bullet"/>
      <w:suff w:val="tab"/>
      <w:lvlText w:val="•"/>
      <w:rPr>
        <w:color w:val="3370ff"/>
      </w:rPr>
    </w:lvl>
  </w:abstractNum>
  <w:abstractNum w:abstractNumId="75904">
    <w:lvl>
      <w:start w:val="1"/>
      <w:numFmt w:val="lowerLetter"/>
      <w:suff w:val="tab"/>
      <w:lvlText w:val="%1."/>
      <w:rPr>
        <w:color w:val="3370ff"/>
      </w:rPr>
    </w:lvl>
  </w:abstractNum>
  <w:abstractNum w:abstractNumId="75905">
    <w:lvl>
      <w:start w:val="2"/>
      <w:numFmt w:val="lowerLetter"/>
      <w:suff w:val="tab"/>
      <w:lvlText w:val="%1."/>
      <w:rPr>
        <w:color w:val="3370ff"/>
      </w:rPr>
    </w:lvl>
  </w:abstractNum>
  <w:abstractNum w:abstractNumId="75906">
    <w:lvl>
      <w:numFmt w:val="bullet"/>
      <w:suff w:val="tab"/>
      <w:lvlText w:val="•"/>
      <w:rPr>
        <w:color w:val="3370ff"/>
      </w:rPr>
    </w:lvl>
  </w:abstractNum>
  <w:abstractNum w:abstractNumId="75907">
    <w:lvl>
      <w:numFmt w:val="bullet"/>
      <w:suff w:val="tab"/>
      <w:lvlText w:val="•"/>
      <w:rPr>
        <w:color w:val="3370ff"/>
      </w:rPr>
    </w:lvl>
  </w:abstractNum>
  <w:abstractNum w:abstractNumId="75908">
    <w:lvl>
      <w:numFmt w:val="bullet"/>
      <w:suff w:val="tab"/>
      <w:lvlText w:val="•"/>
      <w:rPr>
        <w:color w:val="3370ff"/>
      </w:rPr>
    </w:lvl>
  </w:abstractNum>
  <w:abstractNum w:abstractNumId="75909">
    <w:lvl>
      <w:numFmt w:val="bullet"/>
      <w:suff w:val="tab"/>
      <w:lvlText w:val="•"/>
      <w:rPr>
        <w:color w:val="3370ff"/>
      </w:rPr>
    </w:lvl>
  </w:abstractNum>
  <w:abstractNum w:abstractNumId="75910">
    <w:lvl>
      <w:numFmt w:val="bullet"/>
      <w:suff w:val="tab"/>
      <w:lvlText w:val="￮"/>
      <w:rPr>
        <w:color w:val="3370ff"/>
      </w:rPr>
    </w:lvl>
  </w:abstractNum>
  <w:abstractNum w:abstractNumId="75911">
    <w:lvl>
      <w:numFmt w:val="bullet"/>
      <w:suff w:val="tab"/>
      <w:lvlText w:val="￮"/>
      <w:rPr>
        <w:color w:val="3370ff"/>
      </w:rPr>
    </w:lvl>
  </w:abstractNum>
  <w:abstractNum w:abstractNumId="75912">
    <w:lvl>
      <w:numFmt w:val="bullet"/>
      <w:suff w:val="tab"/>
      <w:lvlText w:val="￮"/>
      <w:rPr>
        <w:color w:val="3370ff"/>
      </w:rPr>
    </w:lvl>
  </w:abstractNum>
  <w:abstractNum w:abstractNumId="75913">
    <w:lvl>
      <w:numFmt w:val="bullet"/>
      <w:suff w:val="tab"/>
      <w:lvlText w:val="￮"/>
      <w:rPr>
        <w:color w:val="3370ff"/>
      </w:rPr>
    </w:lvl>
  </w:abstractNum>
  <w:abstractNum w:abstractNumId="75914">
    <w:lvl>
      <w:numFmt w:val="bullet"/>
      <w:suff w:val="tab"/>
      <w:lvlText w:val="•"/>
      <w:rPr>
        <w:color w:val="3370ff"/>
      </w:rPr>
    </w:lvl>
  </w:abstractNum>
  <w:abstractNum w:abstractNumId="75915">
    <w:lvl>
      <w:numFmt w:val="bullet"/>
      <w:suff w:val="tab"/>
      <w:lvlText w:val="￮"/>
      <w:rPr>
        <w:color w:val="3370ff"/>
      </w:rPr>
    </w:lvl>
  </w:abstractNum>
  <w:abstractNum w:abstractNumId="75916">
    <w:lvl>
      <w:numFmt w:val="bullet"/>
      <w:suff w:val="tab"/>
      <w:lvlText w:val="￮"/>
      <w:rPr>
        <w:color w:val="3370ff"/>
      </w:rPr>
    </w:lvl>
  </w:abstractNum>
  <w:abstractNum w:abstractNumId="75917">
    <w:lvl>
      <w:numFmt w:val="bullet"/>
      <w:suff w:val="tab"/>
      <w:lvlText w:val="￮"/>
      <w:rPr>
        <w:color w:val="3370ff"/>
      </w:rPr>
    </w:lvl>
  </w:abstractNum>
  <w:abstractNum w:abstractNumId="75918">
    <w:lvl>
      <w:numFmt w:val="bullet"/>
      <w:suff w:val="tab"/>
      <w:lvlText w:val="￮"/>
      <w:rPr>
        <w:color w:val="3370ff"/>
      </w:rPr>
    </w:lvl>
  </w:abstractNum>
  <w:abstractNum w:abstractNumId="75919">
    <w:lvl>
      <w:numFmt w:val="bullet"/>
      <w:suff w:val="tab"/>
      <w:lvlText w:val="•"/>
      <w:rPr>
        <w:color w:val="3370ff"/>
      </w:rPr>
    </w:lvl>
  </w:abstractNum>
  <w:abstractNum w:abstractNumId="75920">
    <w:lvl>
      <w:numFmt w:val="bullet"/>
      <w:suff w:val="tab"/>
      <w:lvlText w:val="￮"/>
      <w:rPr>
        <w:color w:val="3370ff"/>
      </w:rPr>
    </w:lvl>
  </w:abstractNum>
  <w:abstractNum w:abstractNumId="75921">
    <w:lvl>
      <w:numFmt w:val="bullet"/>
      <w:suff w:val="tab"/>
      <w:lvlText w:val="￮"/>
      <w:rPr>
        <w:color w:val="3370ff"/>
      </w:rPr>
    </w:lvl>
  </w:abstractNum>
  <w:abstractNum w:abstractNumId="75922">
    <w:lvl>
      <w:numFmt w:val="bullet"/>
      <w:suff w:val="tab"/>
      <w:lvlText w:val="•"/>
      <w:rPr>
        <w:color w:val="3370ff"/>
      </w:rPr>
    </w:lvl>
  </w:abstractNum>
  <w:abstractNum w:abstractNumId="75923">
    <w:lvl>
      <w:start w:val="1"/>
      <w:numFmt w:val="lowerLetter"/>
      <w:suff w:val="tab"/>
      <w:lvlText w:val="%1."/>
      <w:rPr>
        <w:color w:val="3370ff"/>
      </w:rPr>
    </w:lvl>
  </w:abstractNum>
  <w:abstractNum w:abstractNumId="75924">
    <w:lvl>
      <w:start w:val="2"/>
      <w:numFmt w:val="lowerLetter"/>
      <w:suff w:val="tab"/>
      <w:lvlText w:val="%1."/>
      <w:rPr>
        <w:color w:val="3370ff"/>
      </w:rPr>
    </w:lvl>
  </w:abstractNum>
  <w:abstractNum w:abstractNumId="75925">
    <w:lvl>
      <w:start w:val="3"/>
      <w:numFmt w:val="lowerLetter"/>
      <w:suff w:val="tab"/>
      <w:lvlText w:val="%1."/>
      <w:rPr>
        <w:color w:val="3370ff"/>
      </w:rPr>
    </w:lvl>
  </w:abstractNum>
  <w:abstractNum w:abstractNumId="75926">
    <w:lvl>
      <w:start w:val="4"/>
      <w:numFmt w:val="lowerLetter"/>
      <w:suff w:val="tab"/>
      <w:lvlText w:val="%1."/>
      <w:rPr>
        <w:color w:val="3370ff"/>
      </w:rPr>
    </w:lvl>
  </w:abstractNum>
  <w:abstractNum w:abstractNumId="75927">
    <w:lvl>
      <w:start w:val="5"/>
      <w:numFmt w:val="lowerLetter"/>
      <w:suff w:val="tab"/>
      <w:lvlText w:val="%1."/>
      <w:rPr>
        <w:color w:val="3370ff"/>
      </w:rPr>
    </w:lvl>
  </w:abstractNum>
  <w:abstractNum w:abstractNumId="75928">
    <w:lvl>
      <w:start w:val="6"/>
      <w:numFmt w:val="lowerLetter"/>
      <w:suff w:val="tab"/>
      <w:lvlText w:val="%1."/>
      <w:rPr>
        <w:color w:val="3370ff"/>
      </w:rPr>
    </w:lvl>
  </w:abstractNum>
  <w:abstractNum w:abstractNumId="75929">
    <w:lvl>
      <w:numFmt w:val="bullet"/>
      <w:suff w:val="tab"/>
      <w:lvlText w:val="￮"/>
      <w:rPr>
        <w:color w:val="3370ff"/>
      </w:rPr>
    </w:lvl>
  </w:abstractNum>
  <w:abstractNum w:abstractNumId="75930">
    <w:lvl>
      <w:numFmt w:val="bullet"/>
      <w:suff w:val="tab"/>
      <w:lvlText w:val="￮"/>
      <w:rPr>
        <w:color w:val="3370ff"/>
      </w:rPr>
    </w:lvl>
  </w:abstractNum>
  <w:abstractNum w:abstractNumId="75931">
    <w:lvl>
      <w:numFmt w:val="bullet"/>
      <w:suff w:val="tab"/>
      <w:lvlText w:val="￮"/>
      <w:rPr>
        <w:color w:val="3370ff"/>
      </w:rPr>
    </w:lvl>
  </w:abstractNum>
  <w:abstractNum w:abstractNumId="75932">
    <w:lvl>
      <w:numFmt w:val="bullet"/>
      <w:suff w:val="tab"/>
      <w:lvlText w:val="￮"/>
      <w:rPr>
        <w:color w:val="3370ff"/>
      </w:rPr>
    </w:lvl>
  </w:abstractNum>
  <w:abstractNum w:abstractNumId="75933">
    <w:lvl>
      <w:numFmt w:val="bullet"/>
      <w:suff w:val="tab"/>
      <w:lvlText w:val="•"/>
      <w:rPr>
        <w:color w:val="3370ff"/>
      </w:rPr>
    </w:lvl>
  </w:abstractNum>
  <w:abstractNum w:abstractNumId="75934">
    <w:lvl>
      <w:numFmt w:val="bullet"/>
      <w:suff w:val="tab"/>
      <w:lvlText w:val="￮"/>
      <w:rPr>
        <w:color w:val="3370ff"/>
      </w:rPr>
    </w:lvl>
  </w:abstractNum>
  <w:abstractNum w:abstractNumId="75935">
    <w:lvl>
      <w:numFmt w:val="bullet"/>
      <w:suff w:val="tab"/>
      <w:lvlText w:val="￮"/>
      <w:rPr>
        <w:color w:val="3370ff"/>
      </w:rPr>
    </w:lvl>
  </w:abstractNum>
  <w:abstractNum w:abstractNumId="75936">
    <w:lvl>
      <w:numFmt w:val="bullet"/>
      <w:suff w:val="tab"/>
      <w:lvlText w:val="•"/>
      <w:rPr>
        <w:color w:val="3370ff"/>
      </w:rPr>
    </w:lvl>
  </w:abstractNum>
  <w:abstractNum w:abstractNumId="75937">
    <w:lvl>
      <w:numFmt w:val="bullet"/>
      <w:suff w:val="tab"/>
      <w:lvlText w:val="￮"/>
      <w:rPr>
        <w:color w:val="3370ff"/>
      </w:rPr>
    </w:lvl>
  </w:abstractNum>
  <w:abstractNum w:abstractNumId="75938">
    <w:lvl>
      <w:numFmt w:val="bullet"/>
      <w:suff w:val="tab"/>
      <w:lvlText w:val="￮"/>
      <w:rPr>
        <w:color w:val="3370ff"/>
      </w:rPr>
    </w:lvl>
  </w:abstractNum>
  <w:abstractNum w:abstractNumId="75939">
    <w:lvl>
      <w:numFmt w:val="bullet"/>
      <w:suff w:val="tab"/>
      <w:lvlText w:val="•"/>
      <w:rPr>
        <w:color w:val="3370ff"/>
      </w:rPr>
    </w:lvl>
  </w:abstractNum>
  <w:abstractNum w:abstractNumId="75940">
    <w:lvl>
      <w:numFmt w:val="bullet"/>
      <w:suff w:val="tab"/>
      <w:lvlText w:val="￮"/>
      <w:rPr>
        <w:color w:val="3370ff"/>
      </w:rPr>
    </w:lvl>
  </w:abstractNum>
  <w:abstractNum w:abstractNumId="75941">
    <w:lvl>
      <w:numFmt w:val="bullet"/>
      <w:suff w:val="tab"/>
      <w:lvlText w:val="•"/>
      <w:rPr>
        <w:color w:val="3370ff"/>
      </w:rPr>
    </w:lvl>
  </w:abstractNum>
  <w:abstractNum w:abstractNumId="75942">
    <w:lvl>
      <w:numFmt w:val="bullet"/>
      <w:suff w:val="tab"/>
      <w:lvlText w:val="￮"/>
      <w:rPr>
        <w:color w:val="3370ff"/>
      </w:rPr>
    </w:lvl>
  </w:abstractNum>
  <w:abstractNum w:abstractNumId="75943">
    <w:lvl>
      <w:numFmt w:val="bullet"/>
      <w:suff w:val="tab"/>
      <w:lvlText w:val="￮"/>
      <w:rPr>
        <w:color w:val="3370ff"/>
      </w:rPr>
    </w:lvl>
  </w:abstractNum>
  <w:abstractNum w:abstractNumId="75944">
    <w:lvl>
      <w:numFmt w:val="bullet"/>
      <w:suff w:val="tab"/>
      <w:lvlText w:val="•"/>
      <w:rPr>
        <w:color w:val="3370ff"/>
      </w:rPr>
    </w:lvl>
  </w:abstractNum>
  <w:abstractNum w:abstractNumId="75945">
    <w:lvl>
      <w:numFmt w:val="bullet"/>
      <w:suff w:val="tab"/>
      <w:lvlText w:val="￮"/>
      <w:rPr>
        <w:color w:val="3370ff"/>
      </w:rPr>
    </w:lvl>
  </w:abstractNum>
  <w:abstractNum w:abstractNumId="75946">
    <w:lvl>
      <w:numFmt w:val="bullet"/>
      <w:suff w:val="tab"/>
      <w:lvlText w:val="￮"/>
      <w:rPr>
        <w:color w:val="3370ff"/>
      </w:rPr>
    </w:lvl>
  </w:abstractNum>
  <w:abstractNum w:abstractNumId="75947">
    <w:lvl>
      <w:numFmt w:val="bullet"/>
      <w:suff w:val="tab"/>
      <w:lvlText w:val="•"/>
      <w:rPr>
        <w:color w:val="3370ff"/>
      </w:rPr>
    </w:lvl>
  </w:abstractNum>
  <w:abstractNum w:abstractNumId="75948">
    <w:lvl>
      <w:numFmt w:val="bullet"/>
      <w:suff w:val="tab"/>
      <w:lvlText w:val="￮"/>
      <w:rPr>
        <w:color w:val="3370ff"/>
      </w:rPr>
    </w:lvl>
  </w:abstractNum>
  <w:abstractNum w:abstractNumId="75949">
    <w:lvl>
      <w:numFmt w:val="bullet"/>
      <w:suff w:val="tab"/>
      <w:lvlText w:val="￮"/>
      <w:rPr>
        <w:color w:val="3370ff"/>
      </w:rPr>
    </w:lvl>
  </w:abstractNum>
  <w:abstractNum w:abstractNumId="75950">
    <w:lvl>
      <w:numFmt w:val="bullet"/>
      <w:suff w:val="tab"/>
      <w:lvlText w:val="•"/>
      <w:rPr>
        <w:color w:val="3370ff"/>
      </w:rPr>
    </w:lvl>
  </w:abstractNum>
  <w:abstractNum w:abstractNumId="75951">
    <w:lvl>
      <w:numFmt w:val="bullet"/>
      <w:suff w:val="tab"/>
      <w:lvlText w:val="￮"/>
      <w:rPr>
        <w:color w:val="3370ff"/>
      </w:rPr>
    </w:lvl>
  </w:abstractNum>
  <w:abstractNum w:abstractNumId="75952">
    <w:lvl>
      <w:numFmt w:val="bullet"/>
      <w:suff w:val="tab"/>
      <w:lvlText w:val="￮"/>
      <w:rPr>
        <w:color w:val="3370ff"/>
      </w:rPr>
    </w:lvl>
  </w:abstractNum>
  <w:abstractNum w:abstractNumId="75953">
    <w:lvl>
      <w:numFmt w:val="bullet"/>
      <w:suff w:val="tab"/>
      <w:lvlText w:val="•"/>
      <w:rPr>
        <w:color w:val="3370ff"/>
      </w:rPr>
    </w:lvl>
  </w:abstractNum>
  <w:abstractNum w:abstractNumId="75954">
    <w:lvl>
      <w:numFmt w:val="bullet"/>
      <w:suff w:val="tab"/>
      <w:lvlText w:val="￮"/>
      <w:rPr>
        <w:color w:val="3370ff"/>
      </w:rPr>
    </w:lvl>
  </w:abstractNum>
  <w:abstractNum w:abstractNumId="75955">
    <w:lvl>
      <w:numFmt w:val="bullet"/>
      <w:suff w:val="tab"/>
      <w:lvlText w:val="￮"/>
      <w:rPr>
        <w:color w:val="3370ff"/>
      </w:rPr>
    </w:lvl>
  </w:abstractNum>
  <w:abstractNum w:abstractNumId="75956">
    <w:lvl>
      <w:numFmt w:val="bullet"/>
      <w:suff w:val="tab"/>
      <w:lvlText w:val="•"/>
      <w:rPr>
        <w:color w:val="3370ff"/>
      </w:rPr>
    </w:lvl>
  </w:abstractNum>
  <w:abstractNum w:abstractNumId="75957">
    <w:lvl>
      <w:numFmt w:val="bullet"/>
      <w:suff w:val="tab"/>
      <w:lvlText w:val="￮"/>
      <w:rPr>
        <w:color w:val="3370ff"/>
      </w:rPr>
    </w:lvl>
  </w:abstractNum>
  <w:abstractNum w:abstractNumId="75958">
    <w:lvl>
      <w:numFmt w:val="bullet"/>
      <w:suff w:val="tab"/>
      <w:lvlText w:val="￮"/>
      <w:rPr>
        <w:color w:val="3370ff"/>
      </w:rPr>
    </w:lvl>
  </w:abstractNum>
  <w:abstractNum w:abstractNumId="75959">
    <w:lvl>
      <w:numFmt w:val="bullet"/>
      <w:suff w:val="tab"/>
      <w:lvlText w:val="•"/>
      <w:rPr>
        <w:color w:val="3370ff"/>
      </w:rPr>
    </w:lvl>
  </w:abstractNum>
  <w:abstractNum w:abstractNumId="75960">
    <w:lvl>
      <w:numFmt w:val="bullet"/>
      <w:suff w:val="tab"/>
      <w:lvlText w:val="￮"/>
      <w:rPr>
        <w:color w:val="3370ff"/>
      </w:rPr>
    </w:lvl>
  </w:abstractNum>
  <w:abstractNum w:abstractNumId="75961">
    <w:lvl>
      <w:numFmt w:val="bullet"/>
      <w:suff w:val="tab"/>
      <w:lvlText w:val="•"/>
      <w:rPr>
        <w:color w:val="3370ff"/>
      </w:rPr>
    </w:lvl>
  </w:abstractNum>
  <w:abstractNum w:abstractNumId="75962">
    <w:lvl>
      <w:numFmt w:val="bullet"/>
      <w:suff w:val="tab"/>
      <w:lvlText w:val="￮"/>
      <w:rPr>
        <w:color w:val="3370ff"/>
      </w:rPr>
    </w:lvl>
  </w:abstractNum>
  <w:abstractNum w:abstractNumId="75963">
    <w:lvl>
      <w:numFmt w:val="bullet"/>
      <w:suff w:val="tab"/>
      <w:lvlText w:val="•"/>
      <w:rPr>
        <w:color w:val="3370ff"/>
      </w:rPr>
    </w:lvl>
  </w:abstractNum>
  <w:abstractNum w:abstractNumId="75964">
    <w:lvl>
      <w:numFmt w:val="bullet"/>
      <w:suff w:val="tab"/>
      <w:lvlText w:val="￮"/>
      <w:rPr>
        <w:color w:val="3370ff"/>
      </w:rPr>
    </w:lvl>
  </w:abstractNum>
  <w:abstractNum w:abstractNumId="75965">
    <w:lvl>
      <w:numFmt w:val="bullet"/>
      <w:suff w:val="tab"/>
      <w:lvlText w:val="￮"/>
      <w:rPr>
        <w:color w:val="3370ff"/>
      </w:rPr>
    </w:lvl>
  </w:abstractNum>
  <w:abstractNum w:abstractNumId="75966">
    <w:lvl>
      <w:numFmt w:val="bullet"/>
      <w:suff w:val="tab"/>
      <w:lvlText w:val="•"/>
      <w:rPr>
        <w:color w:val="3370ff"/>
      </w:rPr>
    </w:lvl>
  </w:abstractNum>
  <w:abstractNum w:abstractNumId="75967">
    <w:lvl>
      <w:numFmt w:val="bullet"/>
      <w:suff w:val="tab"/>
      <w:lvlText w:val="￮"/>
      <w:rPr>
        <w:color w:val="3370ff"/>
      </w:rPr>
    </w:lvl>
  </w:abstractNum>
  <w:abstractNum w:abstractNumId="75968">
    <w:lvl>
      <w:numFmt w:val="bullet"/>
      <w:suff w:val="tab"/>
      <w:lvlText w:val="￮"/>
      <w:rPr>
        <w:color w:val="3370ff"/>
      </w:rPr>
    </w:lvl>
  </w:abstractNum>
  <w:abstractNum w:abstractNumId="75969">
    <w:lvl>
      <w:numFmt w:val="bullet"/>
      <w:suff w:val="tab"/>
      <w:lvlText w:val="•"/>
      <w:rPr>
        <w:color w:val="3370ff"/>
      </w:rPr>
    </w:lvl>
  </w:abstractNum>
  <w:abstractNum w:abstractNumId="75970">
    <w:lvl>
      <w:numFmt w:val="bullet"/>
      <w:suff w:val="tab"/>
      <w:lvlText w:val="￮"/>
      <w:rPr>
        <w:color w:val="3370ff"/>
      </w:rPr>
    </w:lvl>
  </w:abstractNum>
  <w:abstractNum w:abstractNumId="75971">
    <w:lvl>
      <w:numFmt w:val="bullet"/>
      <w:suff w:val="tab"/>
      <w:lvlText w:val="￮"/>
      <w:rPr>
        <w:color w:val="3370ff"/>
      </w:rPr>
    </w:lvl>
  </w:abstractNum>
  <w:abstractNum w:abstractNumId="75972">
    <w:lvl>
      <w:numFmt w:val="bullet"/>
      <w:suff w:val="tab"/>
      <w:lvlText w:val="•"/>
      <w:rPr>
        <w:color w:val="3370ff"/>
      </w:rPr>
    </w:lvl>
  </w:abstractNum>
  <w:abstractNum w:abstractNumId="75973">
    <w:lvl>
      <w:numFmt w:val="bullet"/>
      <w:suff w:val="tab"/>
      <w:lvlText w:val="￮"/>
      <w:rPr>
        <w:color w:val="3370ff"/>
      </w:rPr>
    </w:lvl>
  </w:abstractNum>
  <w:abstractNum w:abstractNumId="75974">
    <w:lvl>
      <w:numFmt w:val="bullet"/>
      <w:suff w:val="tab"/>
      <w:lvlText w:val="•"/>
      <w:rPr>
        <w:color w:val="3370ff"/>
      </w:rPr>
    </w:lvl>
  </w:abstractNum>
  <w:abstractNum w:abstractNumId="75975">
    <w:lvl>
      <w:numFmt w:val="bullet"/>
      <w:suff w:val="tab"/>
      <w:lvlText w:val="￮"/>
      <w:rPr>
        <w:color w:val="3370ff"/>
      </w:rPr>
    </w:lvl>
  </w:abstractNum>
  <w:abstractNum w:abstractNumId="75976">
    <w:lvl>
      <w:numFmt w:val="bullet"/>
      <w:suff w:val="tab"/>
      <w:lvlText w:val="•"/>
      <w:rPr>
        <w:color w:val="3370ff"/>
      </w:rPr>
    </w:lvl>
  </w:abstractNum>
  <w:abstractNum w:abstractNumId="75977">
    <w:lvl>
      <w:numFmt w:val="bullet"/>
      <w:suff w:val="tab"/>
      <w:lvlText w:val="￮"/>
      <w:rPr>
        <w:color w:val="3370ff"/>
      </w:rPr>
    </w:lvl>
  </w:abstractNum>
  <w:abstractNum w:abstractNumId="75978">
    <w:lvl>
      <w:numFmt w:val="bullet"/>
      <w:suff w:val="tab"/>
      <w:lvlText w:val="•"/>
      <w:rPr>
        <w:color w:val="3370ff"/>
      </w:rPr>
    </w:lvl>
  </w:abstractNum>
  <w:abstractNum w:abstractNumId="75979">
    <w:lvl>
      <w:numFmt w:val="bullet"/>
      <w:suff w:val="tab"/>
      <w:lvlText w:val="￮"/>
      <w:rPr>
        <w:color w:val="3370ff"/>
      </w:rPr>
    </w:lvl>
  </w:abstractNum>
  <w:abstractNum w:abstractNumId="75980">
    <w:lvl>
      <w:numFmt w:val="bullet"/>
      <w:suff w:val="tab"/>
      <w:lvlText w:val="•"/>
      <w:rPr>
        <w:color w:val="3370ff"/>
      </w:rPr>
    </w:lvl>
  </w:abstractNum>
  <w:abstractNum w:abstractNumId="75981">
    <w:lvl>
      <w:numFmt w:val="bullet"/>
      <w:suff w:val="tab"/>
      <w:lvlText w:val="•"/>
      <w:rPr>
        <w:color w:val="3370ff"/>
      </w:rPr>
    </w:lvl>
  </w:abstractNum>
  <w:abstractNum w:abstractNumId="75982">
    <w:lvl>
      <w:numFmt w:val="bullet"/>
      <w:suff w:val="tab"/>
      <w:lvlText w:val="•"/>
      <w:rPr>
        <w:color w:val="3370ff"/>
      </w:rPr>
    </w:lvl>
  </w:abstractNum>
  <w:abstractNum w:abstractNumId="75983">
    <w:lvl>
      <w:numFmt w:val="bullet"/>
      <w:suff w:val="tab"/>
      <w:lvlText w:val="•"/>
      <w:rPr>
        <w:color w:val="3370ff"/>
      </w:rPr>
    </w:lvl>
  </w:abstractNum>
  <w:abstractNum w:abstractNumId="75984">
    <w:lvl>
      <w:numFmt w:val="bullet"/>
      <w:suff w:val="tab"/>
      <w:lvlText w:val="•"/>
      <w:rPr>
        <w:color w:val="3370ff"/>
      </w:rPr>
    </w:lvl>
  </w:abstractNum>
  <w:abstractNum w:abstractNumId="75985">
    <w:lvl>
      <w:numFmt w:val="bullet"/>
      <w:suff w:val="tab"/>
      <w:lvlText w:val="•"/>
      <w:rPr>
        <w:color w:val="3370ff"/>
      </w:rPr>
    </w:lvl>
  </w:abstractNum>
  <w:abstractNum w:abstractNumId="75986">
    <w:lvl>
      <w:numFmt w:val="bullet"/>
      <w:suff w:val="tab"/>
      <w:lvlText w:val="•"/>
      <w:rPr>
        <w:color w:val="3370ff"/>
      </w:rPr>
    </w:lvl>
  </w:abstractNum>
  <w:abstractNum w:abstractNumId="75987">
    <w:lvl>
      <w:numFmt w:val="bullet"/>
      <w:suff w:val="tab"/>
      <w:lvlText w:val="•"/>
      <w:rPr>
        <w:color w:val="3370ff"/>
      </w:rPr>
    </w:lvl>
  </w:abstractNum>
  <w:abstractNum w:abstractNumId="75988">
    <w:lvl>
      <w:numFmt w:val="bullet"/>
      <w:suff w:val="tab"/>
      <w:lvlText w:val="•"/>
      <w:rPr>
        <w:color w:val="3370ff"/>
      </w:rPr>
    </w:lvl>
  </w:abstractNum>
  <w:num w:numId="1">
    <w:abstractNumId w:val="75893"/>
  </w:num>
  <w:num w:numId="2">
    <w:abstractNumId w:val="75894"/>
  </w:num>
  <w:num w:numId="3">
    <w:abstractNumId w:val="75895"/>
  </w:num>
  <w:num w:numId="4">
    <w:abstractNumId w:val="75896"/>
  </w:num>
  <w:num w:numId="5">
    <w:abstractNumId w:val="75897"/>
  </w:num>
  <w:num w:numId="6">
    <w:abstractNumId w:val="75898"/>
  </w:num>
  <w:num w:numId="7">
    <w:abstractNumId w:val="75899"/>
  </w:num>
  <w:num w:numId="8">
    <w:abstractNumId w:val="75900"/>
  </w:num>
  <w:num w:numId="9">
    <w:abstractNumId w:val="75901"/>
  </w:num>
  <w:num w:numId="10">
    <w:abstractNumId w:val="75902"/>
  </w:num>
  <w:num w:numId="11">
    <w:abstractNumId w:val="75903"/>
  </w:num>
  <w:num w:numId="12">
    <w:abstractNumId w:val="75904"/>
  </w:num>
  <w:num w:numId="13">
    <w:abstractNumId w:val="75905"/>
  </w:num>
  <w:num w:numId="14">
    <w:abstractNumId w:val="75906"/>
  </w:num>
  <w:num w:numId="15">
    <w:abstractNumId w:val="75907"/>
  </w:num>
  <w:num w:numId="16">
    <w:abstractNumId w:val="75908"/>
  </w:num>
  <w:num w:numId="17">
    <w:abstractNumId w:val="75909"/>
  </w:num>
  <w:num w:numId="18">
    <w:abstractNumId w:val="75910"/>
  </w:num>
  <w:num w:numId="19">
    <w:abstractNumId w:val="75911"/>
  </w:num>
  <w:num w:numId="20">
    <w:abstractNumId w:val="75912"/>
  </w:num>
  <w:num w:numId="21">
    <w:abstractNumId w:val="75913"/>
  </w:num>
  <w:num w:numId="22">
    <w:abstractNumId w:val="75914"/>
  </w:num>
  <w:num w:numId="23">
    <w:abstractNumId w:val="75915"/>
  </w:num>
  <w:num w:numId="24">
    <w:abstractNumId w:val="75916"/>
  </w:num>
  <w:num w:numId="25">
    <w:abstractNumId w:val="75917"/>
  </w:num>
  <w:num w:numId="26">
    <w:abstractNumId w:val="75918"/>
  </w:num>
  <w:num w:numId="27">
    <w:abstractNumId w:val="75919"/>
  </w:num>
  <w:num w:numId="28">
    <w:abstractNumId w:val="75920"/>
  </w:num>
  <w:num w:numId="29">
    <w:abstractNumId w:val="75921"/>
  </w:num>
  <w:num w:numId="30">
    <w:abstractNumId w:val="75922"/>
  </w:num>
  <w:num w:numId="31">
    <w:abstractNumId w:val="75923"/>
  </w:num>
  <w:num w:numId="32">
    <w:abstractNumId w:val="75924"/>
  </w:num>
  <w:num w:numId="33">
    <w:abstractNumId w:val="75925"/>
  </w:num>
  <w:num w:numId="34">
    <w:abstractNumId w:val="75926"/>
  </w:num>
  <w:num w:numId="35">
    <w:abstractNumId w:val="75927"/>
  </w:num>
  <w:num w:numId="36">
    <w:abstractNumId w:val="75928"/>
  </w:num>
  <w:num w:numId="37">
    <w:abstractNumId w:val="75929"/>
  </w:num>
  <w:num w:numId="38">
    <w:abstractNumId w:val="75930"/>
  </w:num>
  <w:num w:numId="39">
    <w:abstractNumId w:val="75931"/>
  </w:num>
  <w:num w:numId="40">
    <w:abstractNumId w:val="75932"/>
  </w:num>
  <w:num w:numId="41">
    <w:abstractNumId w:val="75933"/>
  </w:num>
  <w:num w:numId="42">
    <w:abstractNumId w:val="75934"/>
  </w:num>
  <w:num w:numId="43">
    <w:abstractNumId w:val="75935"/>
  </w:num>
  <w:num w:numId="44">
    <w:abstractNumId w:val="75936"/>
  </w:num>
  <w:num w:numId="45">
    <w:abstractNumId w:val="75937"/>
  </w:num>
  <w:num w:numId="46">
    <w:abstractNumId w:val="75938"/>
  </w:num>
  <w:num w:numId="47">
    <w:abstractNumId w:val="75939"/>
  </w:num>
  <w:num w:numId="48">
    <w:abstractNumId w:val="75940"/>
  </w:num>
  <w:num w:numId="49">
    <w:abstractNumId w:val="75941"/>
  </w:num>
  <w:num w:numId="50">
    <w:abstractNumId w:val="75942"/>
  </w:num>
  <w:num w:numId="51">
    <w:abstractNumId w:val="75943"/>
  </w:num>
  <w:num w:numId="52">
    <w:abstractNumId w:val="75944"/>
  </w:num>
  <w:num w:numId="53">
    <w:abstractNumId w:val="75945"/>
  </w:num>
  <w:num w:numId="54">
    <w:abstractNumId w:val="75946"/>
  </w:num>
  <w:num w:numId="55">
    <w:abstractNumId w:val="75947"/>
  </w:num>
  <w:num w:numId="56">
    <w:abstractNumId w:val="75948"/>
  </w:num>
  <w:num w:numId="57">
    <w:abstractNumId w:val="75949"/>
  </w:num>
  <w:num w:numId="58">
    <w:abstractNumId w:val="75950"/>
  </w:num>
  <w:num w:numId="59">
    <w:abstractNumId w:val="75951"/>
  </w:num>
  <w:num w:numId="60">
    <w:abstractNumId w:val="75952"/>
  </w:num>
  <w:num w:numId="61">
    <w:abstractNumId w:val="75953"/>
  </w:num>
  <w:num w:numId="62">
    <w:abstractNumId w:val="75954"/>
  </w:num>
  <w:num w:numId="63">
    <w:abstractNumId w:val="75955"/>
  </w:num>
  <w:num w:numId="64">
    <w:abstractNumId w:val="75956"/>
  </w:num>
  <w:num w:numId="65">
    <w:abstractNumId w:val="75957"/>
  </w:num>
  <w:num w:numId="66">
    <w:abstractNumId w:val="75958"/>
  </w:num>
  <w:num w:numId="67">
    <w:abstractNumId w:val="75959"/>
  </w:num>
  <w:num w:numId="68">
    <w:abstractNumId w:val="75960"/>
  </w:num>
  <w:num w:numId="69">
    <w:abstractNumId w:val="75961"/>
  </w:num>
  <w:num w:numId="70">
    <w:abstractNumId w:val="75962"/>
  </w:num>
  <w:num w:numId="71">
    <w:abstractNumId w:val="75963"/>
  </w:num>
  <w:num w:numId="72">
    <w:abstractNumId w:val="75964"/>
  </w:num>
  <w:num w:numId="73">
    <w:abstractNumId w:val="75965"/>
  </w:num>
  <w:num w:numId="74">
    <w:abstractNumId w:val="75966"/>
  </w:num>
  <w:num w:numId="75">
    <w:abstractNumId w:val="75967"/>
  </w:num>
  <w:num w:numId="76">
    <w:abstractNumId w:val="75968"/>
  </w:num>
  <w:num w:numId="77">
    <w:abstractNumId w:val="75969"/>
  </w:num>
  <w:num w:numId="78">
    <w:abstractNumId w:val="75970"/>
  </w:num>
  <w:num w:numId="79">
    <w:abstractNumId w:val="75971"/>
  </w:num>
  <w:num w:numId="80">
    <w:abstractNumId w:val="75972"/>
  </w:num>
  <w:num w:numId="81">
    <w:abstractNumId w:val="75973"/>
  </w:num>
  <w:num w:numId="82">
    <w:abstractNumId w:val="75974"/>
  </w:num>
  <w:num w:numId="83">
    <w:abstractNumId w:val="75975"/>
  </w:num>
  <w:num w:numId="84">
    <w:abstractNumId w:val="75976"/>
  </w:num>
  <w:num w:numId="85">
    <w:abstractNumId w:val="75977"/>
  </w:num>
  <w:num w:numId="86">
    <w:abstractNumId w:val="75978"/>
  </w:num>
  <w:num w:numId="87">
    <w:abstractNumId w:val="75979"/>
  </w:num>
  <w:num w:numId="88">
    <w:abstractNumId w:val="75980"/>
  </w:num>
  <w:num w:numId="89">
    <w:abstractNumId w:val="75981"/>
  </w:num>
  <w:num w:numId="90">
    <w:abstractNumId w:val="75982"/>
  </w:num>
  <w:num w:numId="91">
    <w:abstractNumId w:val="75983"/>
  </w:num>
  <w:num w:numId="92">
    <w:abstractNumId w:val="75984"/>
  </w:num>
  <w:num w:numId="93">
    <w:abstractNumId w:val="75985"/>
  </w:num>
  <w:num w:numId="94">
    <w:abstractNumId w:val="75986"/>
  </w:num>
  <w:num w:numId="95">
    <w:abstractNumId w:val="75987"/>
  </w:num>
  <w:num w:numId="96">
    <w:abstractNumId w:val="759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2026-08-06T17:42:06Z</dcterms:created>
  <dc:creator>Apache POI</dc:creator>
</cp:coreProperties>
</file>