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27 Jul 2026 — Macrofrozen Scope Lock Update Notes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owner: Gareth</w:t>
        <w:br/>
        <w:t>status: draft</w:t>
        <w:br/>
        <w:t>last_reviewed: 2026-07-27</w:t>
        <w:br/>
      </w:r>
      <w:r>
        <w:rPr>
          <w:rFonts w:eastAsia="等线" w:ascii="Arial" w:cs="Arial" w:hAnsi="Arial"/>
          <w:b w:val="true"/>
          <w:sz w:val="32"/>
        </w:rPr>
        <w:t>lark_url: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Purpose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Cross-checks 3 sources against the current </w:t>
      </w:r>
      <w:r>
        <w:rPr>
          <w:rFonts w:eastAsia="Consolas" w:ascii="Consolas" w:cs="Consolas" w:hAnsi="Consolas"/>
          <w:sz w:val="22"/>
          <w:shd w:fill="EFF0F1"/>
        </w:rPr>
        <w:t>Macrofood — Scope Lock v1 (reconciled)</w:t>
      </w:r>
      <w:r>
        <w:rPr>
          <w:rFonts w:eastAsia="等线" w:ascii="Arial" w:cs="Arial" w:hAnsi="Arial"/>
          <w:sz w:val="22"/>
        </w:rPr>
        <w:t xml:space="preserve"> and the old infopack Field Guide (</w:t>
      </w:r>
      <w:r>
        <w:rPr>
          <w:rFonts w:eastAsia="Consolas" w:ascii="Consolas" w:cs="Consolas" w:hAnsi="Consolas"/>
          <w:sz w:val="22"/>
          <w:shd w:fill="EFF0F1"/>
        </w:rPr>
        <w:t>https://eg69120xnei.sg.larksuite.com/wiki/XZKcww7c5iKVYWkh6G0lJksaggc</w:t>
      </w:r>
      <w:r>
        <w:rPr>
          <w:rFonts w:eastAsia="等线" w:ascii="Arial" w:cs="Arial" w:hAnsi="Arial"/>
          <w:sz w:val="22"/>
        </w:rPr>
        <w:t>), and lists exactly what needs to change.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Sources used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Maya Training — Identified Gaps Report.md</w:t>
      </w:r>
      <w:r>
        <w:rPr>
          <w:rFonts w:eastAsia="等线" w:ascii="Arial" w:cs="Arial" w:hAnsi="Arial"/>
          <w:sz w:val="22"/>
        </w:rPr>
        <w:t xml:space="preserve"> (local) — 14 gaps from the 16/17 Jul training sessions.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20Jul26 - Macrofrozen Before vs After MAIA</w:t>
      </w:r>
      <w:r>
        <w:rPr>
          <w:rFonts w:eastAsia="等线" w:ascii="Arial" w:cs="Arial" w:hAnsi="Arial"/>
          <w:sz w:val="22"/>
        </w:rPr>
        <w:t xml:space="preserve"> (Lark) — full current-state vs MAIA-state workflow, confirmed roles/permissions.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23Jul26 - Macro Frozen Enhancement</w:t>
      </w:r>
      <w:r>
        <w:rPr>
          <w:rFonts w:eastAsia="等线" w:ascii="Arial" w:cs="Arial" w:hAnsi="Arial"/>
          <w:sz w:val="22"/>
        </w:rPr>
        <w:t xml:space="preserve"> (Lark) — concrete build spec answering several of the training gaps.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Major finding — order-entry ownership is now answered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The old Field Guide/Signoff Checklist left "who keys in the relayed WhatsApp order" as an </w:t>
      </w:r>
      <w:r>
        <w:rPr>
          <w:rFonts w:eastAsia="等线" w:ascii="Arial" w:cs="Arial" w:hAnsi="Arial"/>
          <w:b w:val="true"/>
          <w:sz w:val="22"/>
        </w:rPr>
        <w:t>open decision</w:t>
      </w:r>
      <w:r>
        <w:rPr>
          <w:rFonts w:eastAsia="等线" w:ascii="Arial" w:cs="Arial" w:hAnsi="Arial"/>
          <w:sz w:val="22"/>
        </w:rPr>
        <w:t xml:space="preserve"> (Section 6a), because Grace was wrongly assumed to be the order-enterer, then corrected to "unknown."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20Jul26 doc resolves this directly:</w:t>
      </w:r>
      <w:r>
        <w:rPr>
          <w:rFonts w:eastAsia="等线" w:ascii="Arial" w:cs="Arial" w:hAnsi="Arial"/>
          <w:sz w:val="22"/>
        </w:rPr>
        <w:t xml:space="preserve"> the </w:t>
      </w:r>
      <w:r>
        <w:rPr>
          <w:rFonts w:eastAsia="等线" w:ascii="Arial" w:cs="Arial" w:hAnsi="Arial"/>
          <w:b w:val="true"/>
          <w:sz w:val="22"/>
        </w:rPr>
        <w:t>salesperson themselves</w:t>
      </w:r>
      <w:r>
        <w:rPr>
          <w:rFonts w:eastAsia="等线" w:ascii="Arial" w:cs="Arial" w:hAnsi="Arial"/>
          <w:sz w:val="22"/>
        </w:rPr>
        <w:t xml:space="preserve"> forwards the customer's order to the MAIA WhatsApp chat, MAIA drafts the SO, the salesperson reviews/corrects it, and </w:t>
      </w:r>
      <w:r>
        <w:rPr>
          <w:rFonts w:eastAsia="等线" w:ascii="Arial" w:cs="Arial" w:hAnsi="Arial"/>
          <w:b w:val="true"/>
          <w:sz w:val="22"/>
        </w:rPr>
        <w:t>the salesperson submits it</w:t>
      </w:r>
      <w:r>
        <w:rPr>
          <w:rFonts w:eastAsia="等线" w:ascii="Arial" w:cs="Arial" w:hAnsi="Arial"/>
          <w:sz w:val="22"/>
        </w:rPr>
        <w:t>. Office/admin order entry is not the model — it's salesperson self-service via MAIA chat.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This contradicts current Scope Lock AS-04/AS-04b: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AS-04 (LOCKED, confirmed 2026-07-14): "outdoor sales scope is </w:t>
      </w:r>
      <w:r>
        <w:rPr>
          <w:rFonts w:eastAsia="等线" w:ascii="Arial" w:cs="Arial" w:hAnsi="Arial"/>
          <w:b w:val="true"/>
          <w:sz w:val="22"/>
        </w:rPr>
        <w:t>query-only</w:t>
      </w:r>
      <w:r>
        <w:rPr>
          <w:rFonts w:eastAsia="等线" w:ascii="Arial" w:cs="Arial" w:hAnsi="Arial"/>
          <w:sz w:val="22"/>
        </w:rPr>
        <w:t>... not order-entry capable."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AS-04b (LOCKED): "sales rep → WhatsApp message to office admin → </w:t>
      </w:r>
      <w:r>
        <w:rPr>
          <w:rFonts w:eastAsia="等线" w:ascii="Arial" w:cs="Arial" w:hAnsi="Arial"/>
          <w:b w:val="true"/>
          <w:sz w:val="22"/>
        </w:rPr>
        <w:t>admin</w:t>
      </w:r>
      <w:r>
        <w:rPr>
          <w:rFonts w:eastAsia="等线" w:ascii="Arial" w:cs="Arial" w:hAnsi="Arial"/>
          <w:sz w:val="22"/>
        </w:rPr>
        <w:t xml:space="preserve"> creates SO in MAIA."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Both are now superseded by the 20Jul26 doc. </w:t>
      </w:r>
      <w:r>
        <w:rPr>
          <w:rFonts w:eastAsia="等线" w:ascii="Arial" w:cs="Arial" w:hAnsi="Arial"/>
          <w:b w:val="true"/>
          <w:sz w:val="22"/>
        </w:rPr>
        <w:t>Recommend:</w:t>
      </w:r>
      <w:r>
        <w:rPr>
          <w:rFonts w:eastAsia="等线" w:ascii="Arial" w:cs="Arial" w:hAnsi="Arial"/>
          <w:sz w:val="22"/>
        </w:rPr>
        <w:t xml:space="preserve"> reopen AS-04/AS-04b, update to reflect salesperson-submits-SO-directly, and note the supersession explicitly (don't silently overwrite — this was a LOCKED item).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This also resolves the Role-Permission-sheet conflict flagged earlier in this pack's audit (Sales User had WRITE/CREATE on Sales Order per the permission sheet, which contradicted the "query only" framing) — </w:t>
      </w:r>
      <w:r>
        <w:rPr>
          <w:rFonts w:eastAsia="等线" w:ascii="Arial" w:cs="Arial" w:hAnsi="Arial"/>
          <w:b w:val="true"/>
          <w:sz w:val="22"/>
        </w:rPr>
        <w:t>the permission sheet was right, AS-04's query-only description was stale.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Training gaps — now resolved by the Enhancement doc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 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Resolution in 23Jul26 doc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Management can't filter dashboard by salesperson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as a build item</w:t>
            </w:r>
            <w:r>
              <w:rPr>
                <w:rFonts w:eastAsia="等线" w:ascii="Arial" w:cs="Arial" w:hAnsi="Arial"/>
                <w:sz w:val="22"/>
              </w:rPr>
              <w:t xml:space="preserve"> — "Sales Dashboard Filter: for David and CJ, Dashboard should support filtering by Salesperson."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remarks/notes not carried into pick list output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as a build item</w:t>
            </w:r>
            <w:r>
              <w:rPr>
                <w:rFonts w:eastAsia="等线" w:ascii="Arial" w:cs="Arial" w:hAnsi="Arial"/>
                <w:sz w:val="22"/>
              </w:rPr>
              <w:t xml:space="preserve"> — Pick List gets Customer Name + Additional Notes columns, remarks moved to top of page (was buried at bottom), warehouse grouping by Customer/SO/Warehouse.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Supplier/stock entry/cost not integrated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Confirmed still out of scope, explicitly</w:t>
            </w:r>
            <w:r>
              <w:rPr>
                <w:rFonts w:eastAsia="等线" w:ascii="Arial" w:cs="Arial" w:hAnsi="Arial"/>
                <w:sz w:val="22"/>
              </w:rPr>
              <w:t xml:space="preserve"> — "Stock entry - out of scope. Supplier name is a required field" (SQL-side, not Maya).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#14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Duplicate customer detection incomplete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Resolved as a build item — "Lead Merge"</w:t>
            </w:r>
            <w:r>
              <w:rPr>
                <w:rFonts w:eastAsia="等线" w:ascii="Arial" w:cs="Arial" w:hAnsi="Arial"/>
                <w:sz w:val="22"/>
              </w:rPr>
              <w:t>: detects existing customer during lead conversion, allows merge (CRM notes, contact, phone, email, address, company info), latest value wins on conflict.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Lead/Prospect conversion (previously "entirely new scope, not in Scope Lock")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capability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Simplified, not built as originally discussed</w:t>
            </w:r>
            <w:r>
              <w:rPr>
                <w:rFonts w:eastAsia="等线" w:ascii="Arial" w:cs="Arial" w:hAnsi="Arial"/>
                <w:sz w:val="22"/>
              </w:rPr>
              <w:t xml:space="preserve"> — Prospect module and Lead→Prospect step are being </w:t>
            </w:r>
            <w:r>
              <w:rPr>
                <w:rFonts w:eastAsia="等线" w:ascii="Arial" w:cs="Arial" w:hAnsi="Arial"/>
                <w:b w:val="true"/>
                <w:sz w:val="22"/>
              </w:rPr>
              <w:t>hidden</w:t>
            </w:r>
            <w:r>
              <w:rPr>
                <w:rFonts w:eastAsia="等线" w:ascii="Arial" w:cs="Arial" w:hAnsi="Arial"/>
                <w:sz w:val="22"/>
              </w:rPr>
              <w:t xml:space="preserve">; adopting a straight </w:t>
            </w:r>
            <w:r>
              <w:rPr>
                <w:rFonts w:eastAsia="等线" w:ascii="Arial" w:cs="Arial" w:hAnsi="Arial"/>
                <w:b w:val="true"/>
                <w:sz w:val="22"/>
              </w:rPr>
              <w:t>Lead → Customer</w:t>
            </w:r>
            <w:r>
              <w:rPr>
                <w:rFonts w:eastAsia="等线" w:ascii="Arial" w:cs="Arial" w:hAnsi="Arial"/>
                <w:sz w:val="22"/>
              </w:rPr>
              <w:t xml:space="preserve"> flow instead. CRM notes carry forward from Lead to Customer on conversion.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New scope surfaced (not in current Scope Lock at all)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SKU replacement during picking</w:t>
      </w:r>
      <w:r>
        <w:rPr>
          <w:rFonts w:eastAsia="等线" w:ascii="Arial" w:cs="Arial" w:hAnsi="Arial"/>
          <w:sz w:val="22"/>
        </w:rPr>
        <w:t xml:space="preserve"> — warehouse can substitute an out-of-stock SKU during pick/pack; system should retain original SKU, replacement SKU, who changed it, why, and approval status where required. Not previously scoped anywhere.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Kilograms-per-box tracking</w:t>
      </w:r>
      <w:r>
        <w:rPr>
          <w:rFonts w:eastAsia="等线" w:ascii="Arial" w:cs="Arial" w:hAnsi="Arial"/>
          <w:sz w:val="22"/>
        </w:rPr>
        <w:t xml:space="preserve"> — separate from total actual kg; warehouse needs box count + kg/box, not just total weight (ties to AS-01/fresh-weight, needs to extend that item's acceptance criteria).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Tiered price-approval routing</w:t>
      </w:r>
      <w:r>
        <w:rPr>
          <w:rFonts w:eastAsia="等线" w:ascii="Arial" w:cs="Arial" w:hAnsi="Arial"/>
          <w:sz w:val="22"/>
        </w:rPr>
        <w:t xml:space="preserve"> — confirms 3 tiers: normal price (auto), below customer/default price but above minimum (</w:t>
      </w:r>
      <w:r>
        <w:rPr>
          <w:rFonts w:eastAsia="等线" w:ascii="Arial" w:cs="Arial" w:hAnsi="Arial"/>
          <w:b w:val="true"/>
          <w:sz w:val="22"/>
        </w:rPr>
        <w:t>CJ approves</w:t>
      </w:r>
      <w:r>
        <w:rPr>
          <w:rFonts w:eastAsia="等线" w:ascii="Arial" w:cs="Arial" w:hAnsi="Arial"/>
          <w:sz w:val="22"/>
        </w:rPr>
        <w:t>), below minimum price (</w:t>
      </w:r>
      <w:r>
        <w:rPr>
          <w:rFonts w:eastAsia="等线" w:ascii="Arial" w:cs="Arial" w:hAnsi="Arial"/>
          <w:b w:val="true"/>
          <w:sz w:val="22"/>
        </w:rPr>
        <w:t>David approves</w:t>
      </w:r>
      <w:r>
        <w:rPr>
          <w:rFonts w:eastAsia="等线" w:ascii="Arial" w:cs="Arial" w:hAnsi="Arial"/>
          <w:sz w:val="22"/>
        </w:rPr>
        <w:t>). SL-03/SL-04 currently only describe a single credit-limit-style block; this pricing-approval ladder is more granular and isn't captured yet.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Explicit "Grace must ask MAIA to generate Invoice/DN"</w:t>
      </w:r>
      <w:r>
        <w:rPr>
          <w:rFonts w:eastAsia="等线" w:ascii="Arial" w:cs="Arial" w:hAnsi="Arial"/>
          <w:sz w:val="22"/>
        </w:rPr>
        <w:t xml:space="preserve"> — MAIA does NOT auto-generate Invoice/DO when the amended SO is submitted; Grace has to separately request generation. This is a meaningful nuance missing from SL-07's current acceptance criteria (currently implies generation happens once SO is confirmed).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POD uploaded by Accounts, not the driver</w:t>
      </w:r>
      <w:r>
        <w:rPr>
          <w:rFonts w:eastAsia="等线" w:ascii="Arial" w:cs="Arial" w:hAnsi="Arial"/>
          <w:sz w:val="22"/>
        </w:rPr>
        <w:t xml:space="preserve"> — 20Jul26 doc: "Accounts uploads the Proof of Delivery to MAIA." This is new detail on top of the existing NS-07 BLOCKED conflict — worth noting even though NS-07 itself is still blocked pending David's decision (Grace's rejection of the whole POD-into-Maya design hasn't changed).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control toggle naming fix</w:t>
      </w:r>
      <w:r>
        <w:rPr>
          <w:rFonts w:eastAsia="等线" w:ascii="Arial" w:cs="Arial" w:hAnsi="Arial"/>
          <w:sz w:val="22"/>
        </w:rPr>
        <w:t xml:space="preserve"> — "Bypass credit limit" / "Overdue block" (confusing pos/neg mix) → standardize to "Credit limit enforced: Yes/No" and "Overdue block enabled: Yes/No." Cosmetic but affects SL-04's UI description.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Product Detail screen — hide Purchasing tab from warehouse users.</w:t>
      </w:r>
      <w:r>
        <w:rPr>
          <w:rFonts w:eastAsia="等线" w:ascii="Arial" w:cs="Arial" w:hAnsi="Arial"/>
          <w:sz w:val="22"/>
        </w:rPr>
        <w:t xml:space="preserve"> New, minor permission-scoping item, ties to SL-04/role matrix (warehouse should not see cost/purchasing data — this is now an explicit build item, not just a stated rule).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 What's now stale in the old infopack Field Guide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Field Guide (old, pre-27Jul) still reflects: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AS-04b's "admin enters the order" model — </w:t>
      </w:r>
      <w:r>
        <w:rPr>
          <w:rFonts w:eastAsia="等线" w:ascii="Arial" w:cs="Arial" w:hAnsi="Arial"/>
          <w:b w:val="true"/>
          <w:sz w:val="22"/>
        </w:rPr>
        <w:t>now wrong</w:t>
      </w:r>
      <w:r>
        <w:rPr>
          <w:rFonts w:eastAsia="等线" w:ascii="Arial" w:cs="Arial" w:hAnsi="Arial"/>
          <w:sz w:val="22"/>
        </w:rPr>
        <w:t>, per §1 above.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mention of SKU replacement, kg-per-box, or tiered CJ/David price approval — all new mechanics from the 20Jul26 doc.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Grace's DO/Invoice creation described as following directly from weight confirmation — missing the "explicit ask" step now confirmed.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Roles table doesn't yet reflect Apple/Applle's confirmed scope: </w:t>
      </w:r>
      <w:r>
        <w:rPr>
          <w:rFonts w:eastAsia="等线" w:ascii="Arial" w:cs="Arial" w:hAnsi="Arial"/>
          <w:b w:val="true"/>
          <w:sz w:val="22"/>
        </w:rPr>
        <w:t>credit limits and credit terms specifically</w:t>
      </w:r>
      <w:r>
        <w:rPr>
          <w:rFonts w:eastAsia="等线" w:ascii="Arial" w:cs="Arial" w:hAnsi="Arial"/>
          <w:sz w:val="22"/>
        </w:rPr>
        <w:t>, not general Admin parity with David (20Jul26 doc: "Apple — Finance... Sets customer credit limits... Controls customer credit terms" — narrower and more specific than the earlier "same permission level as David" assumption).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Recommended Scope Lock actions</w:t>
      </w:r>
      <w:bookmarkEnd w:id="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Reopen </w:t>
      </w:r>
      <w:r>
        <w:rPr>
          <w:rFonts w:eastAsia="等线" w:ascii="Arial" w:cs="Arial" w:hAnsi="Arial"/>
          <w:b w:val="true"/>
          <w:sz w:val="22"/>
        </w:rPr>
        <w:t>AS-04 / AS-04b</w:t>
      </w:r>
      <w:r>
        <w:rPr>
          <w:rFonts w:eastAsia="等线" w:ascii="Arial" w:cs="Arial" w:hAnsi="Arial"/>
          <w:sz w:val="22"/>
        </w:rPr>
        <w:t xml:space="preserve"> — update to salesperson-submits-SO-directly model, note supersession with date/source.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Add </w:t>
      </w:r>
      <w:r>
        <w:rPr>
          <w:rFonts w:eastAsia="等线" w:ascii="Arial" w:cs="Arial" w:hAnsi="Arial"/>
          <w:b w:val="true"/>
          <w:sz w:val="22"/>
        </w:rPr>
        <w:t>new AS item</w:t>
      </w:r>
      <w:r>
        <w:rPr>
          <w:rFonts w:eastAsia="等线" w:ascii="Arial" w:cs="Arial" w:hAnsi="Arial"/>
          <w:sz w:val="22"/>
        </w:rPr>
        <w:t xml:space="preserve"> for SKU replacement during picking.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Extend </w:t>
      </w:r>
      <w:r>
        <w:rPr>
          <w:rFonts w:eastAsia="等线" w:ascii="Arial" w:cs="Arial" w:hAnsi="Arial"/>
          <w:b w:val="true"/>
          <w:sz w:val="22"/>
        </w:rPr>
        <w:t>AS-01</w:t>
      </w:r>
      <w:r>
        <w:rPr>
          <w:rFonts w:eastAsia="等线" w:ascii="Arial" w:cs="Arial" w:hAnsi="Arial"/>
          <w:sz w:val="22"/>
        </w:rPr>
        <w:t xml:space="preserve"> acceptance criteria with kg-per-box / box-count tracking.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Extend </w:t>
      </w:r>
      <w:r>
        <w:rPr>
          <w:rFonts w:eastAsia="等线" w:ascii="Arial" w:cs="Arial" w:hAnsi="Arial"/>
          <w:b w:val="true"/>
          <w:sz w:val="22"/>
        </w:rPr>
        <w:t>SL-03/SL-04</w:t>
      </w:r>
      <w:r>
        <w:rPr>
          <w:rFonts w:eastAsia="等线" w:ascii="Arial" w:cs="Arial" w:hAnsi="Arial"/>
          <w:sz w:val="22"/>
        </w:rPr>
        <w:t xml:space="preserve"> with the 3-tier price-approval ladder (auto / CJ / David).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Extend </w:t>
      </w:r>
      <w:r>
        <w:rPr>
          <w:rFonts w:eastAsia="等线" w:ascii="Arial" w:cs="Arial" w:hAnsi="Arial"/>
          <w:b w:val="true"/>
          <w:sz w:val="22"/>
        </w:rPr>
        <w:t>SL-07</w:t>
      </w:r>
      <w:r>
        <w:rPr>
          <w:rFonts w:eastAsia="等线" w:ascii="Arial" w:cs="Arial" w:hAnsi="Arial"/>
          <w:sz w:val="22"/>
        </w:rPr>
        <w:t xml:space="preserve"> acceptance criteria — Invoice/DN generation is an explicit Grace-initiated action, not automatic.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Resolve/close training Gaps #2, #3, #14 in the Needs-Scoping Register — mark </w:t>
      </w:r>
      <w:r>
        <w:rPr>
          <w:rFonts w:eastAsia="等线" w:ascii="Arial" w:cs="Arial" w:hAnsi="Arial"/>
          <w:b w:val="true"/>
          <w:sz w:val="22"/>
        </w:rPr>
        <w:t>RESOLVED (build spec confirmed 2026-07-23)</w:t>
      </w:r>
      <w:r>
        <w:rPr>
          <w:rFonts w:eastAsia="等线" w:ascii="Arial" w:cs="Arial" w:hAnsi="Arial"/>
          <w:sz w:val="22"/>
        </w:rPr>
        <w:t>, not still open.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Correct </w:t>
      </w:r>
      <w:r>
        <w:rPr>
          <w:rFonts w:eastAsia="等线" w:ascii="Arial" w:cs="Arial" w:hAnsi="Arial"/>
          <w:b w:val="true"/>
          <w:sz w:val="22"/>
        </w:rPr>
        <w:t>Apple's role definition</w:t>
      </w:r>
      <w:r>
        <w:rPr>
          <w:rFonts w:eastAsia="等线" w:ascii="Arial" w:cs="Arial" w:hAnsi="Arial"/>
          <w:sz w:val="22"/>
        </w:rPr>
        <w:t xml:space="preserve"> — Finance/credit-limit/credit-term scope specifically, not blanket Admin parity with David.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Add note that </w:t>
      </w:r>
      <w:r>
        <w:rPr>
          <w:rFonts w:eastAsia="等线" w:ascii="Arial" w:cs="Arial" w:hAnsi="Arial"/>
          <w:b w:val="true"/>
          <w:sz w:val="22"/>
        </w:rPr>
        <w:t>Prospect module is being hidden</w:t>
      </w:r>
      <w:r>
        <w:rPr>
          <w:rFonts w:eastAsia="等线" w:ascii="Arial" w:cs="Arial" w:hAnsi="Arial"/>
          <w:sz w:val="22"/>
        </w:rPr>
        <w:t xml:space="preserve"> — simplifies any prior Lead/Prospect scope assumption to a flat Lead→Customer flow.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NS-07 (POD) with the Accounts-uploads-not-driver detail — does not resolve the blocker, just refines the mechanism description for whenever David decides.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See Also</w:t>
      </w:r>
      <w:bookmarkEnd w:id="8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[[Macrofood — Scope Lock v1 (reconciled)]]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[[Maya Training — Identified Gaps Report]]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74670">
    <w:lvl>
      <w:start w:val="1"/>
      <w:numFmt w:val="decimal"/>
      <w:suff w:val="tab"/>
      <w:lvlText w:val="%1."/>
      <w:rPr>
        <w:color w:val="3370ff"/>
      </w:rPr>
    </w:lvl>
  </w:abstractNum>
  <w:abstractNum w:abstractNumId="774671">
    <w:lvl>
      <w:start w:val="2"/>
      <w:numFmt w:val="decimal"/>
      <w:suff w:val="tab"/>
      <w:lvlText w:val="%1."/>
      <w:rPr>
        <w:color w:val="3370ff"/>
      </w:rPr>
    </w:lvl>
  </w:abstractNum>
  <w:abstractNum w:abstractNumId="774672">
    <w:lvl>
      <w:start w:val="3"/>
      <w:numFmt w:val="decimal"/>
      <w:suff w:val="tab"/>
      <w:lvlText w:val="%1."/>
      <w:rPr>
        <w:color w:val="3370ff"/>
      </w:rPr>
    </w:lvl>
  </w:abstractNum>
  <w:abstractNum w:abstractNumId="774673">
    <w:lvl>
      <w:numFmt w:val="bullet"/>
      <w:suff w:val="tab"/>
      <w:lvlText w:val="•"/>
      <w:rPr>
        <w:color w:val="3370ff"/>
      </w:rPr>
    </w:lvl>
  </w:abstractNum>
  <w:abstractNum w:abstractNumId="774674">
    <w:lvl>
      <w:numFmt w:val="bullet"/>
      <w:suff w:val="tab"/>
      <w:lvlText w:val="•"/>
      <w:rPr>
        <w:color w:val="3370ff"/>
      </w:rPr>
    </w:lvl>
  </w:abstractNum>
  <w:abstractNum w:abstractNumId="774675">
    <w:lvl>
      <w:numFmt w:val="bullet"/>
      <w:suff w:val="tab"/>
      <w:lvlText w:val="•"/>
      <w:rPr>
        <w:color w:val="3370ff"/>
      </w:rPr>
    </w:lvl>
  </w:abstractNum>
  <w:abstractNum w:abstractNumId="774676">
    <w:lvl>
      <w:numFmt w:val="bullet"/>
      <w:suff w:val="tab"/>
      <w:lvlText w:val="•"/>
      <w:rPr>
        <w:color w:val="3370ff"/>
      </w:rPr>
    </w:lvl>
  </w:abstractNum>
  <w:abstractNum w:abstractNumId="774677">
    <w:lvl>
      <w:numFmt w:val="bullet"/>
      <w:suff w:val="tab"/>
      <w:lvlText w:val="•"/>
      <w:rPr>
        <w:color w:val="3370ff"/>
      </w:rPr>
    </w:lvl>
  </w:abstractNum>
  <w:abstractNum w:abstractNumId="774678">
    <w:lvl>
      <w:numFmt w:val="bullet"/>
      <w:suff w:val="tab"/>
      <w:lvlText w:val="•"/>
      <w:rPr>
        <w:color w:val="3370ff"/>
      </w:rPr>
    </w:lvl>
  </w:abstractNum>
  <w:abstractNum w:abstractNumId="774679">
    <w:lvl>
      <w:numFmt w:val="bullet"/>
      <w:suff w:val="tab"/>
      <w:lvlText w:val="•"/>
      <w:rPr>
        <w:color w:val="3370ff"/>
      </w:rPr>
    </w:lvl>
  </w:abstractNum>
  <w:abstractNum w:abstractNumId="774680">
    <w:lvl>
      <w:numFmt w:val="bullet"/>
      <w:suff w:val="tab"/>
      <w:lvlText w:val="•"/>
      <w:rPr>
        <w:color w:val="3370ff"/>
      </w:rPr>
    </w:lvl>
  </w:abstractNum>
  <w:abstractNum w:abstractNumId="774681">
    <w:lvl>
      <w:numFmt w:val="bullet"/>
      <w:suff w:val="tab"/>
      <w:lvlText w:val="•"/>
      <w:rPr>
        <w:color w:val="3370ff"/>
      </w:rPr>
    </w:lvl>
  </w:abstractNum>
  <w:abstractNum w:abstractNumId="774682">
    <w:lvl>
      <w:numFmt w:val="bullet"/>
      <w:suff w:val="tab"/>
      <w:lvlText w:val="•"/>
      <w:rPr>
        <w:color w:val="3370ff"/>
      </w:rPr>
    </w:lvl>
  </w:abstractNum>
  <w:abstractNum w:abstractNumId="774683">
    <w:lvl>
      <w:numFmt w:val="bullet"/>
      <w:suff w:val="tab"/>
      <w:lvlText w:val="•"/>
      <w:rPr>
        <w:color w:val="3370ff"/>
      </w:rPr>
    </w:lvl>
  </w:abstractNum>
  <w:abstractNum w:abstractNumId="774684">
    <w:lvl>
      <w:numFmt w:val="bullet"/>
      <w:suff w:val="tab"/>
      <w:lvlText w:val="•"/>
      <w:rPr>
        <w:color w:val="3370ff"/>
      </w:rPr>
    </w:lvl>
  </w:abstractNum>
  <w:abstractNum w:abstractNumId="774685">
    <w:lvl>
      <w:numFmt w:val="bullet"/>
      <w:suff w:val="tab"/>
      <w:lvlText w:val="•"/>
      <w:rPr>
        <w:color w:val="3370ff"/>
      </w:rPr>
    </w:lvl>
  </w:abstractNum>
  <w:abstractNum w:abstractNumId="774686">
    <w:lvl>
      <w:start w:val="1"/>
      <w:numFmt w:val="decimal"/>
      <w:suff w:val="tab"/>
      <w:lvlText w:val="%1."/>
      <w:rPr>
        <w:color w:val="3370ff"/>
      </w:rPr>
    </w:lvl>
  </w:abstractNum>
  <w:abstractNum w:abstractNumId="774687">
    <w:lvl>
      <w:start w:val="2"/>
      <w:numFmt w:val="decimal"/>
      <w:suff w:val="tab"/>
      <w:lvlText w:val="%1."/>
      <w:rPr>
        <w:color w:val="3370ff"/>
      </w:rPr>
    </w:lvl>
  </w:abstractNum>
  <w:abstractNum w:abstractNumId="774688">
    <w:lvl>
      <w:start w:val="3"/>
      <w:numFmt w:val="decimal"/>
      <w:suff w:val="tab"/>
      <w:lvlText w:val="%1."/>
      <w:rPr>
        <w:color w:val="3370ff"/>
      </w:rPr>
    </w:lvl>
  </w:abstractNum>
  <w:abstractNum w:abstractNumId="774689">
    <w:lvl>
      <w:start w:val="4"/>
      <w:numFmt w:val="decimal"/>
      <w:suff w:val="tab"/>
      <w:lvlText w:val="%1."/>
      <w:rPr>
        <w:color w:val="3370ff"/>
      </w:rPr>
    </w:lvl>
  </w:abstractNum>
  <w:abstractNum w:abstractNumId="774690">
    <w:lvl>
      <w:start w:val="5"/>
      <w:numFmt w:val="decimal"/>
      <w:suff w:val="tab"/>
      <w:lvlText w:val="%1."/>
      <w:rPr>
        <w:color w:val="3370ff"/>
      </w:rPr>
    </w:lvl>
  </w:abstractNum>
  <w:abstractNum w:abstractNumId="774691">
    <w:lvl>
      <w:start w:val="6"/>
      <w:numFmt w:val="decimal"/>
      <w:suff w:val="tab"/>
      <w:lvlText w:val="%1."/>
      <w:rPr>
        <w:color w:val="3370ff"/>
      </w:rPr>
    </w:lvl>
  </w:abstractNum>
  <w:abstractNum w:abstractNumId="774692">
    <w:lvl>
      <w:start w:val="7"/>
      <w:numFmt w:val="decimal"/>
      <w:suff w:val="tab"/>
      <w:lvlText w:val="%1."/>
      <w:rPr>
        <w:color w:val="3370ff"/>
      </w:rPr>
    </w:lvl>
  </w:abstractNum>
  <w:abstractNum w:abstractNumId="774693">
    <w:lvl>
      <w:start w:val="8"/>
      <w:numFmt w:val="decimal"/>
      <w:suff w:val="tab"/>
      <w:lvlText w:val="%1."/>
      <w:rPr>
        <w:color w:val="3370ff"/>
      </w:rPr>
    </w:lvl>
  </w:abstractNum>
  <w:abstractNum w:abstractNumId="774694">
    <w:lvl>
      <w:start w:val="9"/>
      <w:numFmt w:val="decimal"/>
      <w:suff w:val="tab"/>
      <w:lvlText w:val="%1."/>
      <w:rPr>
        <w:color w:val="3370ff"/>
      </w:rPr>
    </w:lvl>
  </w:abstractNum>
  <w:abstractNum w:abstractNumId="774695">
    <w:lvl>
      <w:numFmt w:val="bullet"/>
      <w:suff w:val="tab"/>
      <w:lvlText w:val="•"/>
      <w:rPr>
        <w:color w:val="3370ff"/>
      </w:rPr>
    </w:lvl>
  </w:abstractNum>
  <w:abstractNum w:abstractNumId="774696">
    <w:lvl>
      <w:numFmt w:val="bullet"/>
      <w:suff w:val="tab"/>
      <w:lvlText w:val="•"/>
      <w:rPr>
        <w:color w:val="3370ff"/>
      </w:rPr>
    </w:lvl>
  </w:abstractNum>
  <w:num w:numId="1">
    <w:abstractNumId w:val="774670"/>
  </w:num>
  <w:num w:numId="2">
    <w:abstractNumId w:val="774671"/>
  </w:num>
  <w:num w:numId="3">
    <w:abstractNumId w:val="774672"/>
  </w:num>
  <w:num w:numId="4">
    <w:abstractNumId w:val="774673"/>
  </w:num>
  <w:num w:numId="5">
    <w:abstractNumId w:val="774674"/>
  </w:num>
  <w:num w:numId="6">
    <w:abstractNumId w:val="774675"/>
  </w:num>
  <w:num w:numId="7">
    <w:abstractNumId w:val="774676"/>
  </w:num>
  <w:num w:numId="8">
    <w:abstractNumId w:val="774677"/>
  </w:num>
  <w:num w:numId="9">
    <w:abstractNumId w:val="774678"/>
  </w:num>
  <w:num w:numId="10">
    <w:abstractNumId w:val="774679"/>
  </w:num>
  <w:num w:numId="11">
    <w:abstractNumId w:val="774680"/>
  </w:num>
  <w:num w:numId="12">
    <w:abstractNumId w:val="774681"/>
  </w:num>
  <w:num w:numId="13">
    <w:abstractNumId w:val="774682"/>
  </w:num>
  <w:num w:numId="14">
    <w:abstractNumId w:val="774683"/>
  </w:num>
  <w:num w:numId="15">
    <w:abstractNumId w:val="774684"/>
  </w:num>
  <w:num w:numId="16">
    <w:abstractNumId w:val="774685"/>
  </w:num>
  <w:num w:numId="17">
    <w:abstractNumId w:val="774686"/>
  </w:num>
  <w:num w:numId="18">
    <w:abstractNumId w:val="774687"/>
  </w:num>
  <w:num w:numId="19">
    <w:abstractNumId w:val="774688"/>
  </w:num>
  <w:num w:numId="20">
    <w:abstractNumId w:val="774689"/>
  </w:num>
  <w:num w:numId="21">
    <w:abstractNumId w:val="774690"/>
  </w:num>
  <w:num w:numId="22">
    <w:abstractNumId w:val="774691"/>
  </w:num>
  <w:num w:numId="23">
    <w:abstractNumId w:val="774692"/>
  </w:num>
  <w:num w:numId="24">
    <w:abstractNumId w:val="774693"/>
  </w:num>
  <w:num w:numId="25">
    <w:abstractNumId w:val="774694"/>
  </w:num>
  <w:num w:numId="26">
    <w:abstractNumId w:val="774695"/>
  </w:num>
  <w:num w:numId="27">
    <w:abstractNumId w:val="7746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2026-08-06T17:55:15Z</dcterms:created>
  <dc:creator>Apache POI</dc:creator>
</cp:coreProperties>
</file>